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06B9" w14:textId="77777777" w:rsidR="00186746" w:rsidRPr="00186746" w:rsidRDefault="00186746" w:rsidP="00354ED7">
      <w:pPr>
        <w:jc w:val="right"/>
        <w:rPr>
          <w:rFonts w:asciiTheme="minorHAnsi" w:hAnsiTheme="minorHAnsi"/>
          <w:i/>
          <w:szCs w:val="22"/>
        </w:rPr>
      </w:pPr>
      <w:r w:rsidRPr="00186746">
        <w:rPr>
          <w:rFonts w:asciiTheme="minorHAnsi" w:hAnsiTheme="minorHAnsi"/>
          <w:i/>
          <w:szCs w:val="22"/>
        </w:rPr>
        <w:t>Príloha č. 3  výzvy – Zoznam povinných merateľných ukazovateľov projektu</w:t>
      </w:r>
    </w:p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421D0C6" w:rsidR="00BC628D" w:rsidRPr="00A42D69" w:rsidRDefault="00357AEF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HORNÁ TOPĽA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59946F2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ins w:id="1" w:author="Autor">
              <w:r w:rsidR="00480C32" w:rsidRPr="008C0112">
                <w:rPr>
                  <w:rFonts w:asciiTheme="minorHAnsi" w:hAnsiTheme="minorHAnsi"/>
                  <w:sz w:val="20"/>
                </w:rPr>
                <w:t xml:space="preserve">ukončenia </w:t>
              </w:r>
              <w:r w:rsidR="00480C32">
                <w:rPr>
                  <w:rFonts w:asciiTheme="minorHAnsi" w:hAnsiTheme="minorHAnsi"/>
                  <w:sz w:val="20"/>
                </w:rPr>
                <w:t>realizácie</w:t>
              </w:r>
              <w:r w:rsidR="00480C32" w:rsidRPr="008C0112">
                <w:rPr>
                  <w:rFonts w:asciiTheme="minorHAnsi" w:hAnsiTheme="minorHAnsi"/>
                  <w:sz w:val="20"/>
                </w:rPr>
                <w:t xml:space="preserve"> projekt</w:t>
              </w:r>
              <w:r w:rsidR="00480C32">
                <w:rPr>
                  <w:rFonts w:asciiTheme="minorHAnsi" w:hAnsiTheme="minorHAnsi"/>
                  <w:sz w:val="20"/>
                </w:rPr>
                <w:t xml:space="preserve">u </w:t>
              </w:r>
            </w:ins>
            <w:del w:id="2" w:author="Autor">
              <w:r w:rsidRPr="008C0112" w:rsidDel="00480C32">
                <w:rPr>
                  <w:rFonts w:asciiTheme="minorHAnsi" w:hAnsiTheme="minorHAnsi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2242089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3" w:author="Autor">
              <w:r w:rsidR="00480C32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del w:id="4" w:author="Autor">
              <w:r w:rsidRPr="008C0112" w:rsidDel="00480C32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ins w:id="5" w:author="Autor">
              <w:r w:rsidR="00480C32">
                <w:rPr>
                  <w:rFonts w:asciiTheme="minorHAnsi" w:hAnsiTheme="minorHAnsi"/>
                  <w:sz w:val="20"/>
                </w:rPr>
                <w:t>u,</w:t>
              </w:r>
            </w:ins>
            <w:del w:id="6" w:author="Autor">
              <w:r w:rsidRPr="008C0112" w:rsidDel="00480C32">
                <w:rPr>
                  <w:rFonts w:asciiTheme="minorHAnsi" w:hAnsiTheme="minorHAnsi"/>
                  <w:sz w:val="20"/>
                </w:rPr>
                <w:delText>e</w:delText>
              </w:r>
            </w:del>
            <w:ins w:id="7" w:author="Autor">
              <w:r w:rsidR="00480C32">
                <w:rPr>
                  <w:rFonts w:asciiTheme="minorHAnsi" w:hAnsiTheme="minorHAnsi"/>
                  <w:sz w:val="20"/>
                </w:rPr>
                <w:t xml:space="preserve"> </w:t>
              </w:r>
              <w:r w:rsidR="00480C32">
                <w:rPr>
                  <w:rFonts w:asciiTheme="minorHAnsi" w:hAnsiTheme="minorHAnsi"/>
                  <w:sz w:val="20"/>
                </w:rPr>
                <w:t xml:space="preserve">najneskôr však do 30 dní od predloženia záverečnej </w:t>
              </w:r>
              <w:proofErr w:type="spellStart"/>
              <w:r w:rsidR="00480C32">
                <w:rPr>
                  <w:rFonts w:asciiTheme="minorHAnsi" w:hAnsiTheme="minorHAnsi"/>
                  <w:sz w:val="20"/>
                </w:rPr>
                <w:t>ŽoP</w:t>
              </w:r>
              <w:proofErr w:type="spellEnd"/>
              <w:r w:rsidR="00480C32"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</w:ins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193F8BF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0" w:author="Autor">
              <w:r w:rsidRPr="008C0112" w:rsidDel="00480C32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1" w:author="Autor">
              <w:r w:rsidR="00480C32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12" w:author="Autor">
              <w:r w:rsidR="00480C32">
                <w:rPr>
                  <w:rFonts w:asciiTheme="minorHAnsi" w:hAnsiTheme="minorHAnsi"/>
                  <w:sz w:val="20"/>
                </w:rPr>
                <w:t>u</w:t>
              </w:r>
            </w:ins>
            <w:del w:id="13" w:author="Autor">
              <w:r w:rsidRPr="008C0112" w:rsidDel="00480C32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411B8572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4" w:author="Autor">
              <w:r w:rsidRPr="008C0112" w:rsidDel="00480C32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5" w:author="Autor">
              <w:r w:rsidR="00480C32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16" w:author="Autor">
              <w:r w:rsidR="00480C32">
                <w:rPr>
                  <w:rFonts w:asciiTheme="minorHAnsi" w:hAnsiTheme="minorHAnsi"/>
                  <w:sz w:val="20"/>
                </w:rPr>
                <w:t>u</w:t>
              </w:r>
            </w:ins>
            <w:del w:id="17" w:author="Autor">
              <w:r w:rsidRPr="008C0112" w:rsidDel="00480C32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A81CE22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812EF9" w:rsidRPr="00812EF9">
        <w:rPr>
          <w:rFonts w:asciiTheme="minorHAnsi" w:hAnsiTheme="minorHAnsi"/>
        </w:rPr>
        <w:t xml:space="preserve">, </w:t>
      </w:r>
      <w:proofErr w:type="spellStart"/>
      <w:r w:rsidR="00812EF9" w:rsidRPr="00812EF9">
        <w:rPr>
          <w:rFonts w:asciiTheme="minorHAnsi" w:hAnsiTheme="minorHAnsi"/>
        </w:rPr>
        <w:t>t.j</w:t>
      </w:r>
      <w:proofErr w:type="spellEnd"/>
      <w:r w:rsidR="00812EF9" w:rsidRPr="00812EF9">
        <w:rPr>
          <w:rFonts w:asciiTheme="minorHAnsi" w:hAnsiTheme="minorHAnsi"/>
        </w:rPr>
        <w:t>. ukazovatele označené ako „áno“ bez dôvetku.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70CDB84E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812EF9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357AEF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537B" w14:textId="77777777" w:rsidR="00DB3DC2" w:rsidRDefault="00DB3DC2">
      <w:r>
        <w:separator/>
      </w:r>
    </w:p>
  </w:endnote>
  <w:endnote w:type="continuationSeparator" w:id="0">
    <w:p w14:paraId="26B70DD8" w14:textId="77777777" w:rsidR="00DB3DC2" w:rsidRDefault="00DB3DC2">
      <w:r>
        <w:continuationSeparator/>
      </w:r>
    </w:p>
  </w:endnote>
  <w:endnote w:type="continuationNotice" w:id="1">
    <w:p w14:paraId="6ADDFB43" w14:textId="77777777" w:rsidR="00DB3DC2" w:rsidRDefault="00DB3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4868" w14:textId="77777777" w:rsidR="00DB3DC2" w:rsidRDefault="00DB3DC2">
      <w:r>
        <w:separator/>
      </w:r>
    </w:p>
  </w:footnote>
  <w:footnote w:type="continuationSeparator" w:id="0">
    <w:p w14:paraId="4A7BF8BB" w14:textId="77777777" w:rsidR="00DB3DC2" w:rsidRDefault="00DB3DC2">
      <w:r>
        <w:continuationSeparator/>
      </w:r>
    </w:p>
  </w:footnote>
  <w:footnote w:type="continuationNotice" w:id="1">
    <w:p w14:paraId="139997F5" w14:textId="77777777" w:rsidR="00DB3DC2" w:rsidRDefault="00DB3DC2"/>
  </w:footnote>
  <w:footnote w:id="2">
    <w:p w14:paraId="23620C2B" w14:textId="320C426D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="0018288F" w:rsidRPr="0018288F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5DFE06F3" w14:textId="77777777" w:rsidR="00480C32" w:rsidRPr="00893229" w:rsidRDefault="00480C32" w:rsidP="00480C32">
      <w:pPr>
        <w:pStyle w:val="Textpoznmkypodiarou"/>
        <w:ind w:right="-312" w:hanging="284"/>
        <w:rPr>
          <w:ins w:id="8" w:author="Autor"/>
          <w:rStyle w:val="Odkaznapoznmkupodiarou"/>
          <w:rFonts w:asciiTheme="minorHAnsi" w:hAnsiTheme="minorHAnsi"/>
          <w:vertAlign w:val="baseline"/>
        </w:rPr>
      </w:pPr>
      <w:ins w:id="9" w:author="Autor">
        <w:r w:rsidRPr="00893229"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Pre účely tejto prílohy sa pod záverečnou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rozumie aj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na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predfinancovanie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325DC3D2" w:rsidR="008718D1" w:rsidRPr="005E6B6E" w:rsidRDefault="00DA53CE" w:rsidP="005E6B6E">
    <w:pPr>
      <w:pStyle w:val="Hlavika"/>
    </w:pPr>
    <w:r w:rsidRPr="00DA53CE">
      <w:rPr>
        <w:noProof/>
      </w:rPr>
      <w:drawing>
        <wp:anchor distT="0" distB="0" distL="114300" distR="114300" simplePos="0" relativeHeight="251669504" behindDoc="0" locked="0" layoutInCell="1" allowOverlap="1" wp14:anchorId="61E8A4C7" wp14:editId="4D241995">
          <wp:simplePos x="0" y="0"/>
          <wp:positionH relativeFrom="column">
            <wp:posOffset>4002405</wp:posOffset>
          </wp:positionH>
          <wp:positionV relativeFrom="paragraph">
            <wp:posOffset>-67310</wp:posOffset>
          </wp:positionV>
          <wp:extent cx="1508760" cy="346541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346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AEF">
      <w:rPr>
        <w:noProof/>
        <w:lang w:eastAsia="sk-SK"/>
      </w:rPr>
      <w:drawing>
        <wp:anchor distT="0" distB="0" distL="114300" distR="114300" simplePos="0" relativeHeight="251649024" behindDoc="0" locked="0" layoutInCell="1" allowOverlap="1" wp14:anchorId="3A35AEFF" wp14:editId="2BB9BCEE">
          <wp:simplePos x="0" y="0"/>
          <wp:positionH relativeFrom="column">
            <wp:posOffset>1030605</wp:posOffset>
          </wp:positionH>
          <wp:positionV relativeFrom="paragraph">
            <wp:posOffset>-113030</wp:posOffset>
          </wp:positionV>
          <wp:extent cx="506674" cy="419100"/>
          <wp:effectExtent l="0" t="0" r="8255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674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AEF"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114BBA5A" wp14:editId="20048752">
          <wp:simplePos x="0" y="0"/>
          <wp:positionH relativeFrom="column">
            <wp:posOffset>2524125</wp:posOffset>
          </wp:positionH>
          <wp:positionV relativeFrom="paragraph">
            <wp:posOffset>-111760</wp:posOffset>
          </wp:positionV>
          <wp:extent cx="561975" cy="471170"/>
          <wp:effectExtent l="0" t="0" r="9525" b="5080"/>
          <wp:wrapNone/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AEF"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1ABE2AEC" wp14:editId="6EB307D0">
          <wp:simplePos x="0" y="0"/>
          <wp:positionH relativeFrom="column">
            <wp:posOffset>6134100</wp:posOffset>
          </wp:positionH>
          <wp:positionV relativeFrom="paragraph">
            <wp:posOffset>-130175</wp:posOffset>
          </wp:positionV>
          <wp:extent cx="1638300" cy="457200"/>
          <wp:effectExtent l="0" t="0" r="0" b="0"/>
          <wp:wrapNone/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541405030">
    <w:abstractNumId w:val="27"/>
  </w:num>
  <w:num w:numId="2" w16cid:durableId="1831632744">
    <w:abstractNumId w:val="18"/>
  </w:num>
  <w:num w:numId="3" w16cid:durableId="1842810469">
    <w:abstractNumId w:val="38"/>
  </w:num>
  <w:num w:numId="4" w16cid:durableId="63841244">
    <w:abstractNumId w:val="1"/>
  </w:num>
  <w:num w:numId="5" w16cid:durableId="1595045329">
    <w:abstractNumId w:val="0"/>
  </w:num>
  <w:num w:numId="6" w16cid:durableId="1305693771">
    <w:abstractNumId w:val="3"/>
  </w:num>
  <w:num w:numId="7" w16cid:durableId="369695214">
    <w:abstractNumId w:val="6"/>
  </w:num>
  <w:num w:numId="8" w16cid:durableId="1091970458">
    <w:abstractNumId w:val="9"/>
  </w:num>
  <w:num w:numId="9" w16cid:durableId="445203158">
    <w:abstractNumId w:val="8"/>
  </w:num>
  <w:num w:numId="10" w16cid:durableId="2036077409">
    <w:abstractNumId w:val="15"/>
  </w:num>
  <w:num w:numId="11" w16cid:durableId="1334838529">
    <w:abstractNumId w:val="30"/>
  </w:num>
  <w:num w:numId="12" w16cid:durableId="1355228229">
    <w:abstractNumId w:val="25"/>
  </w:num>
  <w:num w:numId="13" w16cid:durableId="1660965001">
    <w:abstractNumId w:val="20"/>
  </w:num>
  <w:num w:numId="14" w16cid:durableId="286934922">
    <w:abstractNumId w:val="10"/>
  </w:num>
  <w:num w:numId="15" w16cid:durableId="1775779644">
    <w:abstractNumId w:val="26"/>
  </w:num>
  <w:num w:numId="16" w16cid:durableId="112942498">
    <w:abstractNumId w:val="23"/>
  </w:num>
  <w:num w:numId="17" w16cid:durableId="1572153458">
    <w:abstractNumId w:val="4"/>
  </w:num>
  <w:num w:numId="18" w16cid:durableId="1861123826">
    <w:abstractNumId w:val="24"/>
  </w:num>
  <w:num w:numId="19" w16cid:durableId="985889146">
    <w:abstractNumId w:val="12"/>
  </w:num>
  <w:num w:numId="20" w16cid:durableId="4938028">
    <w:abstractNumId w:val="29"/>
  </w:num>
  <w:num w:numId="21" w16cid:durableId="1871915510">
    <w:abstractNumId w:val="22"/>
  </w:num>
  <w:num w:numId="22" w16cid:durableId="1306205338">
    <w:abstractNumId w:val="16"/>
  </w:num>
  <w:num w:numId="23" w16cid:durableId="2115400088">
    <w:abstractNumId w:val="35"/>
  </w:num>
  <w:num w:numId="24" w16cid:durableId="682249207">
    <w:abstractNumId w:val="11"/>
  </w:num>
  <w:num w:numId="25" w16cid:durableId="1012224280">
    <w:abstractNumId w:val="19"/>
  </w:num>
  <w:num w:numId="26" w16cid:durableId="1028989969">
    <w:abstractNumId w:val="2"/>
  </w:num>
  <w:num w:numId="27" w16cid:durableId="1155996808">
    <w:abstractNumId w:val="33"/>
  </w:num>
  <w:num w:numId="28" w16cid:durableId="2064329801">
    <w:abstractNumId w:val="36"/>
  </w:num>
  <w:num w:numId="29" w16cid:durableId="1334262468">
    <w:abstractNumId w:val="32"/>
  </w:num>
  <w:num w:numId="30" w16cid:durableId="923415592">
    <w:abstractNumId w:val="34"/>
  </w:num>
  <w:num w:numId="31" w16cid:durableId="1631135060">
    <w:abstractNumId w:val="31"/>
  </w:num>
  <w:num w:numId="32" w16cid:durableId="1410080647">
    <w:abstractNumId w:val="14"/>
  </w:num>
  <w:num w:numId="33" w16cid:durableId="483356302">
    <w:abstractNumId w:val="5"/>
  </w:num>
  <w:num w:numId="34" w16cid:durableId="1652515474">
    <w:abstractNumId w:val="37"/>
  </w:num>
  <w:num w:numId="35" w16cid:durableId="1281767196">
    <w:abstractNumId w:val="7"/>
  </w:num>
  <w:num w:numId="36" w16cid:durableId="641009008">
    <w:abstractNumId w:val="21"/>
  </w:num>
  <w:num w:numId="37" w16cid:durableId="58217731">
    <w:abstractNumId w:val="13"/>
  </w:num>
  <w:num w:numId="38" w16cid:durableId="186481714">
    <w:abstractNumId w:val="28"/>
  </w:num>
  <w:num w:numId="39" w16cid:durableId="1757283562">
    <w:abstractNumId w:val="17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88F"/>
    <w:rsid w:val="00182DA3"/>
    <w:rsid w:val="00185B7F"/>
    <w:rsid w:val="00186746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4ED7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0C32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2EF9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3B2C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077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3CE"/>
    <w:rsid w:val="00DA55A9"/>
    <w:rsid w:val="00DA5749"/>
    <w:rsid w:val="00DA582F"/>
    <w:rsid w:val="00DA66F4"/>
    <w:rsid w:val="00DA7149"/>
    <w:rsid w:val="00DA7189"/>
    <w:rsid w:val="00DA782C"/>
    <w:rsid w:val="00DB3DC2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27CC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D0639"/>
    <w:rsid w:val="00652709"/>
    <w:rsid w:val="006E2383"/>
    <w:rsid w:val="007E2033"/>
    <w:rsid w:val="008D1E56"/>
    <w:rsid w:val="00A74980"/>
    <w:rsid w:val="00B1562A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B2D2A-4629-4C86-A03E-6F23D46C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2023-01-21T14:20:00Z</dcterms:created>
  <dcterms:modified xsi:type="dcterms:W3CDTF">2023-01-21T14:20:00Z</dcterms:modified>
</cp:coreProperties>
</file>