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19118" w14:textId="77777777" w:rsidR="00E4796C" w:rsidRPr="00A42D69" w:rsidRDefault="00E4796C">
      <w:pPr>
        <w:rPr>
          <w:rFonts w:asciiTheme="minorHAnsi" w:hAnsiTheme="minorHAnsi"/>
          <w:szCs w:val="22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14:paraId="33369C8B" w14:textId="76B4FE67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228014C4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64E75" w:rsidRDefault="00BC7077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2421D0C6" w:rsidR="00BC628D" w:rsidRPr="00A42D69" w:rsidRDefault="00357AEF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Miestna akčná skupina HORNÁ TOPĽA</w:t>
            </w:r>
          </w:p>
        </w:tc>
      </w:tr>
      <w:tr w:rsidR="00BC628D" w:rsidRPr="00A42D69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2B8BEDDD" w:rsidR="00BC628D" w:rsidRPr="00A42D69" w:rsidRDefault="00BC7077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A42D69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C0112" w:rsidRPr="009365C4" w14:paraId="519CC964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2986E57D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30C733A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09D96FC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 RN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28F7ABA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v priamej súvislosti s realizovaným podporeným projektom (bez realizácie podporeného projektu by nevznikli), musia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byť obsadené (neobsadené pracovné pozície sa nesmú 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7BA686C1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7615841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 RN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BC628D" w:rsidRPr="009365C4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BC628D" w:rsidRPr="009365C4" w:rsidRDefault="009365C4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38E48A5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64F57B67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4A82C493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 RN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BC628D" w:rsidRPr="009365C4" w14:paraId="283F87CC" w14:textId="643404B7" w:rsidTr="00C702EF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BC628D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 xml:space="preserve">významne líšia od iných produktov dostupných na trhu. </w:t>
            </w:r>
          </w:p>
          <w:p w14:paraId="18C6F3B6" w14:textId="151B2CC7" w:rsidR="00BC628D" w:rsidRPr="008C0112" w:rsidRDefault="008C0112" w:rsidP="008C01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3153ED3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shd w:val="clear" w:color="auto" w:fill="FFFFFF" w:themeFill="background1"/>
          </w:tcPr>
          <w:p w14:paraId="5F84BD66" w14:textId="29F65AC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6A5A3583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 RN</w:t>
            </w:r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C98B24C" w14:textId="1BF571C8" w:rsidR="00CF14C5" w:rsidRDefault="00840492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ukazovatele.</w:t>
      </w:r>
    </w:p>
    <w:p w14:paraId="36CF19DA" w14:textId="31566894" w:rsidR="00535633" w:rsidRPr="00A42D69" w:rsidRDefault="00535633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28496D96" w14:textId="77777777" w:rsidR="001F568D" w:rsidRPr="001A6EA1" w:rsidRDefault="001F568D" w:rsidP="00EC501F">
      <w:pPr>
        <w:ind w:left="-426" w:right="-312"/>
        <w:jc w:val="both"/>
        <w:rPr>
          <w:rFonts w:asciiTheme="minorHAnsi" w:hAnsiTheme="minorHAnsi"/>
        </w:rPr>
      </w:pPr>
    </w:p>
    <w:p w14:paraId="1FB4FEA6" w14:textId="1EB463C0" w:rsidR="001A6EA1" w:rsidRDefault="001A6EA1" w:rsidP="00EC501F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sectPr w:rsidR="001A6EA1" w:rsidSect="00357AEF">
      <w:headerReference w:type="first" r:id="rId8"/>
      <w:pgSz w:w="16840" w:h="11907" w:orient="landscape" w:code="9"/>
      <w:pgMar w:top="1474" w:right="1276" w:bottom="822" w:left="1247" w:header="850" w:footer="709" w:gutter="454"/>
      <w:pgNumType w:start="1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31A67" w14:textId="77777777" w:rsidR="00BC7077" w:rsidRDefault="00BC7077">
      <w:r>
        <w:separator/>
      </w:r>
    </w:p>
  </w:endnote>
  <w:endnote w:type="continuationSeparator" w:id="0">
    <w:p w14:paraId="14448FD9" w14:textId="77777777" w:rsidR="00BC7077" w:rsidRDefault="00BC7077">
      <w:r>
        <w:continuationSeparator/>
      </w:r>
    </w:p>
  </w:endnote>
  <w:endnote w:type="continuationNotice" w:id="1">
    <w:p w14:paraId="6879D02A" w14:textId="77777777" w:rsidR="00BC7077" w:rsidRDefault="00BC7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0A268" w14:textId="77777777" w:rsidR="00BC7077" w:rsidRDefault="00BC7077">
      <w:r>
        <w:separator/>
      </w:r>
    </w:p>
  </w:footnote>
  <w:footnote w:type="continuationSeparator" w:id="0">
    <w:p w14:paraId="44E97A53" w14:textId="77777777" w:rsidR="00BC7077" w:rsidRDefault="00BC7077">
      <w:r>
        <w:continuationSeparator/>
      </w:r>
    </w:p>
  </w:footnote>
  <w:footnote w:type="continuationNotice" w:id="1">
    <w:p w14:paraId="34C36F23" w14:textId="77777777" w:rsidR="00BC7077" w:rsidRDefault="00BC7077"/>
  </w:footnote>
  <w:footnote w:id="2">
    <w:p w14:paraId="23620C2B" w14:textId="67062A07" w:rsidR="008718D1" w:rsidRPr="001A6EA1" w:rsidRDefault="008718D1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8718D1" w:rsidRPr="001A6EA1" w:rsidRDefault="008718D1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CEB40" w14:textId="325DC3D2" w:rsidR="008718D1" w:rsidRPr="005E6B6E" w:rsidRDefault="00DA53CE" w:rsidP="005E6B6E">
    <w:pPr>
      <w:pStyle w:val="Hlavika"/>
    </w:pPr>
    <w:r w:rsidRPr="00DA53CE">
      <w:rPr>
        <w:noProof/>
      </w:rPr>
      <w:drawing>
        <wp:anchor distT="0" distB="0" distL="114300" distR="114300" simplePos="0" relativeHeight="251669504" behindDoc="0" locked="0" layoutInCell="1" allowOverlap="1" wp14:anchorId="61E8A4C7" wp14:editId="4D241995">
          <wp:simplePos x="0" y="0"/>
          <wp:positionH relativeFrom="column">
            <wp:posOffset>4002405</wp:posOffset>
          </wp:positionH>
          <wp:positionV relativeFrom="paragraph">
            <wp:posOffset>-67310</wp:posOffset>
          </wp:positionV>
          <wp:extent cx="1508760" cy="346541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4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AEF">
      <w:rPr>
        <w:noProof/>
        <w:lang w:eastAsia="sk-SK"/>
      </w:rPr>
      <w:drawing>
        <wp:anchor distT="0" distB="0" distL="114300" distR="114300" simplePos="0" relativeHeight="251649024" behindDoc="0" locked="0" layoutInCell="1" allowOverlap="1" wp14:anchorId="3A35AEFF" wp14:editId="2BB9BCEE">
          <wp:simplePos x="0" y="0"/>
          <wp:positionH relativeFrom="column">
            <wp:posOffset>1030605</wp:posOffset>
          </wp:positionH>
          <wp:positionV relativeFrom="paragraph">
            <wp:posOffset>-113030</wp:posOffset>
          </wp:positionV>
          <wp:extent cx="506674" cy="419100"/>
          <wp:effectExtent l="0" t="0" r="825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7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AEF" w:rsidRPr="00165D6D"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114BBA5A" wp14:editId="20048752">
          <wp:simplePos x="0" y="0"/>
          <wp:positionH relativeFrom="column">
            <wp:posOffset>2524125</wp:posOffset>
          </wp:positionH>
          <wp:positionV relativeFrom="paragraph">
            <wp:posOffset>-111760</wp:posOffset>
          </wp:positionV>
          <wp:extent cx="561975" cy="471170"/>
          <wp:effectExtent l="0" t="0" r="9525" b="5080"/>
          <wp:wrapNone/>
          <wp:docPr id="4" name="Obrázok 4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IROP 2014-2020_verzia 0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7AEF" w:rsidRPr="00165D6D">
      <w:rPr>
        <w:noProof/>
        <w:lang w:eastAsia="sk-SK"/>
      </w:rPr>
      <w:drawing>
        <wp:anchor distT="0" distB="0" distL="114300" distR="114300" simplePos="0" relativeHeight="251668480" behindDoc="0" locked="0" layoutInCell="1" allowOverlap="1" wp14:anchorId="1ABE2AEC" wp14:editId="6EB307D0">
          <wp:simplePos x="0" y="0"/>
          <wp:positionH relativeFrom="column">
            <wp:posOffset>6134100</wp:posOffset>
          </wp:positionH>
          <wp:positionV relativeFrom="paragraph">
            <wp:posOffset>-130175</wp:posOffset>
          </wp:positionV>
          <wp:extent cx="1638300" cy="457200"/>
          <wp:effectExtent l="0" t="0" r="0" b="0"/>
          <wp:wrapNone/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2" descr="http://www.euroregion-tatry.eu/_pliki/flaga_UE+unia_europejska_EFRR_z_lewej_SK%20small.jp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AEF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107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077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3CE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652709"/>
    <w:rsid w:val="006E2383"/>
    <w:rsid w:val="00A74980"/>
    <w:rsid w:val="00B1562A"/>
    <w:rsid w:val="00B62629"/>
    <w:rsid w:val="00C31B9D"/>
    <w:rsid w:val="00C40C5F"/>
    <w:rsid w:val="00CA2517"/>
    <w:rsid w:val="00D44CE6"/>
    <w:rsid w:val="00DB3628"/>
    <w:rsid w:val="00E22C87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2D2A-4629-4C86-A03E-6F23D46C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2016-11-03T17:06:00Z</dcterms:created>
  <dcterms:modified xsi:type="dcterms:W3CDTF">2020-10-12T11:05:00Z</dcterms:modified>
</cp:coreProperties>
</file>