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793302" w:rsidRPr="00A42D69" w14:paraId="476F5F12" w14:textId="77777777" w:rsidTr="00FD0E1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2F6F706" w14:textId="6B008497" w:rsidR="00793302" w:rsidRPr="00A42D69" w:rsidRDefault="00793302" w:rsidP="00FD0E1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793302" w:rsidRPr="00264E75" w14:paraId="2664AF11" w14:textId="77777777" w:rsidTr="00FD0E11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9F10BB" w14:textId="77777777" w:rsidR="00793302" w:rsidRPr="00C63419" w:rsidRDefault="00793302" w:rsidP="00FD0E1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6F518B94" w14:textId="77777777" w:rsidR="00793302" w:rsidRPr="00264E75" w:rsidRDefault="008C6421" w:rsidP="00FD0E1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274825919"/>
                <w:placeholder>
                  <w:docPart w:val="6978939070D9464888C2A624E3DD1FD0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93302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793302" w:rsidRPr="00A42D69" w14:paraId="384D8C2A" w14:textId="77777777" w:rsidTr="00FD0E11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9CF437" w14:textId="77777777" w:rsidR="00793302" w:rsidRPr="00C63419" w:rsidRDefault="00793302" w:rsidP="00FD0E1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351E867" w14:textId="5DF74769" w:rsidR="00793302" w:rsidRPr="00A42D69" w:rsidRDefault="00793302" w:rsidP="00FD0E1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HORNÁ TOPĽA</w:t>
            </w:r>
          </w:p>
        </w:tc>
      </w:tr>
      <w:tr w:rsidR="00793302" w:rsidRPr="00A42D69" w14:paraId="7A4D5419" w14:textId="77777777" w:rsidTr="00FD0E11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06EB72" w14:textId="77777777" w:rsidR="00793302" w:rsidRPr="00C63419" w:rsidRDefault="00793302" w:rsidP="00FD0E1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2E833321" w14:textId="77777777" w:rsidR="00793302" w:rsidRPr="00A42D69" w:rsidRDefault="008C6421" w:rsidP="00FD0E1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737999205"/>
                <w:placeholder>
                  <w:docPart w:val="C9E397F49B73461DADB066E57C32131F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93302">
                  <w:rPr>
                    <w:rFonts w:asciiTheme="minorHAnsi" w:hAnsiTheme="minorHAnsi"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793302" w:rsidRPr="00A42D69" w14:paraId="729ABADC" w14:textId="77777777" w:rsidTr="00FD0E11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A03E7E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A218B" w14:textId="77777777" w:rsidR="00793302" w:rsidRPr="00A42D69" w:rsidRDefault="00793302" w:rsidP="00FD0E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0F35AD10" w14:textId="77777777" w:rsidR="00793302" w:rsidRPr="00A42D69" w:rsidRDefault="00793302" w:rsidP="00FD0E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3CF0F1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F414E2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D1F8F2" w14:textId="77777777" w:rsidR="00793302" w:rsidRPr="00A42D69" w:rsidRDefault="00793302" w:rsidP="00FD0E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61482365" w14:textId="77777777" w:rsidR="00793302" w:rsidRPr="00A42D69" w:rsidRDefault="00793302" w:rsidP="00FD0E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82BE79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D1E732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9F4EB1" w14:textId="77777777" w:rsidR="00793302" w:rsidRPr="00A42D69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93302" w:rsidRPr="008C0112" w14:paraId="1081A322" w14:textId="77777777" w:rsidTr="00FD0E11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F6C9A" w14:textId="77777777" w:rsidR="00793302" w:rsidRPr="009365C4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D6927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63253" w14:textId="77777777" w:rsidR="00793302" w:rsidRPr="009365C4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586F4" w14:textId="77777777" w:rsidR="00793302" w:rsidRPr="009365C4" w:rsidRDefault="00793302" w:rsidP="00FD0E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6E83A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7CBA4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5C32DD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180B6C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7AFE7C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prípade, ak projekt vedie k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rekonštrukcii alebo vybudovaniu cyklotrasy</w:t>
            </w:r>
          </w:p>
        </w:tc>
      </w:tr>
      <w:tr w:rsidR="00793302" w14:paraId="7AF1DCEF" w14:textId="77777777" w:rsidTr="00FD0E11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BF8C9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642204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Počet vytvorených prvkov doplnkovej </w:t>
            </w:r>
            <w:r w:rsidRPr="008A06CF">
              <w:rPr>
                <w:rFonts w:asciiTheme="minorHAnsi" w:hAnsiTheme="minorHAnsi"/>
                <w:sz w:val="20"/>
              </w:rPr>
              <w:lastRenderedPageBreak/>
              <w:t>cyklistickej infraštruktúry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9DBFB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lastRenderedPageBreak/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</w:t>
            </w:r>
            <w:r w:rsidRPr="008A06CF">
              <w:rPr>
                <w:rFonts w:asciiTheme="minorHAnsi" w:hAnsiTheme="minorHAnsi"/>
                <w:sz w:val="20"/>
              </w:rPr>
              <w:lastRenderedPageBreak/>
              <w:t xml:space="preserve">nabíjacie stanice pre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8EE91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52E54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F3DE3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65DA33" w14:textId="77777777" w:rsidR="00793302" w:rsidRPr="008C011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09ADE" w14:textId="77777777" w:rsidR="00793302" w:rsidRDefault="00793302" w:rsidP="00FD0E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 xml:space="preserve">prípade, ak projekt vedie </w:t>
            </w:r>
            <w:r w:rsidRPr="008A06CF">
              <w:rPr>
                <w:rFonts w:asciiTheme="minorHAnsi" w:hAnsiTheme="minorHAnsi"/>
                <w:sz w:val="20"/>
              </w:rPr>
              <w:lastRenderedPageBreak/>
              <w:t>k vybudovaniu doplnkovej infraštruktúry</w:t>
            </w:r>
          </w:p>
        </w:tc>
      </w:tr>
    </w:tbl>
    <w:p w14:paraId="2C709BBE" w14:textId="41209A68" w:rsidR="005E6B6E" w:rsidRDefault="005E6B6E" w:rsidP="00793302">
      <w:pPr>
        <w:rPr>
          <w:rFonts w:asciiTheme="minorHAnsi" w:hAnsiTheme="minorHAnsi"/>
          <w:i/>
          <w:highlight w:val="yellow"/>
        </w:rPr>
      </w:pPr>
    </w:p>
    <w:p w14:paraId="1FD4AD90" w14:textId="5783FF7F" w:rsidR="00FD6E77" w:rsidRPr="00502433" w:rsidRDefault="00FD6E77" w:rsidP="00FD6E77">
      <w:pPr>
        <w:ind w:left="-426" w:right="-312"/>
        <w:jc w:val="both"/>
        <w:rPr>
          <w:rFonts w:asciiTheme="minorHAnsi" w:hAnsiTheme="minorHAnsi"/>
          <w:color w:val="000000" w:themeColor="text1"/>
        </w:rPr>
      </w:pPr>
      <w:r w:rsidRPr="00502433">
        <w:rPr>
          <w:rFonts w:asciiTheme="minorHAnsi" w:hAnsiTheme="minorHAnsi"/>
          <w:color w:val="000000" w:themeColor="text1"/>
        </w:rPr>
        <w:t xml:space="preserve">Žiadateľ je povinný stanoviť „nenulovú“ cieľovú hodnotu pre tie merateľné ukazovatele projektu, ktoré majú byť realizáciou navrhovaných aktivít dosiahnuté. </w:t>
      </w:r>
    </w:p>
    <w:p w14:paraId="393EF73A" w14:textId="77777777" w:rsidR="00182D22" w:rsidRPr="00502433" w:rsidRDefault="00182D22" w:rsidP="00182D22">
      <w:pPr>
        <w:ind w:left="-426" w:right="-312"/>
        <w:jc w:val="both"/>
        <w:rPr>
          <w:rFonts w:asciiTheme="minorHAnsi" w:hAnsiTheme="minorHAnsi"/>
          <w:color w:val="000000" w:themeColor="text1"/>
        </w:rPr>
      </w:pPr>
      <w:r w:rsidRPr="00502433">
        <w:rPr>
          <w:rFonts w:asciiTheme="minorHAnsi" w:hAnsiTheme="minorHAnsi"/>
          <w:color w:val="000000" w:themeColor="text1"/>
        </w:rPr>
        <w:t>Projekt bez príspevku k naplneniu aspoň jedného z uvedených merateľných ukazovateľov nebude schválený.</w:t>
      </w:r>
    </w:p>
    <w:p w14:paraId="25810D28" w14:textId="77777777" w:rsidR="00FD6E77" w:rsidRPr="00502433" w:rsidRDefault="00FD6E77" w:rsidP="00FD6E77">
      <w:pPr>
        <w:ind w:left="-426" w:right="-312"/>
        <w:jc w:val="both"/>
        <w:rPr>
          <w:rFonts w:asciiTheme="minorHAnsi" w:hAnsiTheme="minorHAnsi"/>
          <w:color w:val="000000" w:themeColor="text1"/>
        </w:rPr>
      </w:pPr>
    </w:p>
    <w:p w14:paraId="62E2720C" w14:textId="77777777" w:rsidR="00FD6E77" w:rsidRPr="00502433" w:rsidRDefault="00FD6E77" w:rsidP="00FD6E77">
      <w:pPr>
        <w:ind w:left="-426" w:right="-312"/>
        <w:jc w:val="both"/>
        <w:rPr>
          <w:rFonts w:asciiTheme="minorHAnsi" w:hAnsiTheme="minorHAnsi"/>
          <w:color w:val="000000" w:themeColor="text1"/>
        </w:rPr>
      </w:pPr>
      <w:r w:rsidRPr="00502433">
        <w:rPr>
          <w:rFonts w:asciiTheme="minorHAnsi" w:hAnsiTheme="minorHAnsi"/>
          <w:b/>
          <w:color w:val="000000" w:themeColor="text1"/>
        </w:rPr>
        <w:t>Upozornenie:</w:t>
      </w:r>
      <w:r w:rsidRPr="00502433">
        <w:rPr>
          <w:rFonts w:asciiTheme="minorHAnsi" w:hAnsiTheme="minorHAnsi"/>
          <w:color w:val="000000" w:themeColor="text1"/>
        </w:rPr>
        <w:t xml:space="preserve"> V súvislosti so stanovením cieľových hodnôt merateľných ukazovateľov (z pohľadu ich reálnosti) si dovoľujeme upozorniť na sankčný mechanizmus definovaný v zmluve o príspevku vo vzťahu k miere skutočného plnenia cieľových hodnôt merateľných ukazovateľov.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4BABFB4E" w14:textId="77777777" w:rsidR="00FD6E77" w:rsidRPr="00793302" w:rsidRDefault="00FD6E77" w:rsidP="00793302">
      <w:pPr>
        <w:rPr>
          <w:rFonts w:asciiTheme="minorHAnsi" w:hAnsiTheme="minorHAnsi"/>
          <w:i/>
          <w:highlight w:val="yellow"/>
        </w:rPr>
      </w:pPr>
    </w:p>
    <w:sectPr w:rsidR="00FD6E77" w:rsidRPr="00793302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734EA" w14:textId="77777777" w:rsidR="008C6421" w:rsidRDefault="008C6421">
      <w:r>
        <w:separator/>
      </w:r>
    </w:p>
  </w:endnote>
  <w:endnote w:type="continuationSeparator" w:id="0">
    <w:p w14:paraId="3457921F" w14:textId="77777777" w:rsidR="008C6421" w:rsidRDefault="008C6421">
      <w:r>
        <w:continuationSeparator/>
      </w:r>
    </w:p>
  </w:endnote>
  <w:endnote w:type="continuationNotice" w:id="1">
    <w:p w14:paraId="373EB734" w14:textId="77777777" w:rsidR="008C6421" w:rsidRDefault="008C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C81F" w14:textId="77777777" w:rsidR="008C6421" w:rsidRDefault="008C6421">
      <w:r>
        <w:separator/>
      </w:r>
    </w:p>
  </w:footnote>
  <w:footnote w:type="continuationSeparator" w:id="0">
    <w:p w14:paraId="1E2E7966" w14:textId="77777777" w:rsidR="008C6421" w:rsidRDefault="008C6421">
      <w:r>
        <w:continuationSeparator/>
      </w:r>
    </w:p>
  </w:footnote>
  <w:footnote w:type="continuationNotice" w:id="1">
    <w:p w14:paraId="6662EA9C" w14:textId="77777777" w:rsidR="008C6421" w:rsidRDefault="008C6421"/>
  </w:footnote>
  <w:footnote w:id="2">
    <w:p w14:paraId="2BB5B610" w14:textId="77777777" w:rsidR="00793302" w:rsidRPr="001A6EA1" w:rsidRDefault="00793302" w:rsidP="00793302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75163EC7" w14:textId="77777777" w:rsidR="00793302" w:rsidRPr="001A6EA1" w:rsidRDefault="00793302" w:rsidP="00793302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97A7" w14:textId="3DEBD9A4" w:rsidR="001A26D8" w:rsidRDefault="00063B6A" w:rsidP="00063B6A">
    <w:pPr>
      <w:pStyle w:val="Hlavika"/>
      <w:jc w:val="left"/>
      <w:rPr>
        <w:rFonts w:ascii="Arial Narrow" w:hAnsi="Arial Narrow" w:cs="Arial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67456" behindDoc="0" locked="0" layoutInCell="1" allowOverlap="1" wp14:anchorId="14D6FD8E" wp14:editId="23F9FBC0">
          <wp:simplePos x="0" y="0"/>
          <wp:positionH relativeFrom="column">
            <wp:posOffset>4625340</wp:posOffset>
          </wp:positionH>
          <wp:positionV relativeFrom="paragraph">
            <wp:posOffset>-213995</wp:posOffset>
          </wp:positionV>
          <wp:extent cx="1600200" cy="367553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302" w:rsidRPr="006A295F"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1B0B6E88" wp14:editId="4E556789">
          <wp:simplePos x="0" y="0"/>
          <wp:positionH relativeFrom="column">
            <wp:posOffset>251460</wp:posOffset>
          </wp:positionH>
          <wp:positionV relativeFrom="paragraph">
            <wp:posOffset>-213995</wp:posOffset>
          </wp:positionV>
          <wp:extent cx="469583" cy="388620"/>
          <wp:effectExtent l="0" t="0" r="698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3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302" w:rsidRPr="002B339A">
      <w:rPr>
        <w:rFonts w:asciiTheme="minorHAnsi" w:hAnsiTheme="minorHAnsi"/>
        <w:noProof/>
        <w:lang w:eastAsia="sk-SK"/>
      </w:rPr>
      <w:drawing>
        <wp:anchor distT="0" distB="0" distL="114300" distR="114300" simplePos="0" relativeHeight="251663360" behindDoc="0" locked="0" layoutInCell="1" allowOverlap="1" wp14:anchorId="4B69072C" wp14:editId="4941830B">
          <wp:simplePos x="0" y="0"/>
          <wp:positionH relativeFrom="column">
            <wp:posOffset>2590800</wp:posOffset>
          </wp:positionH>
          <wp:positionV relativeFrom="paragraph">
            <wp:posOffset>-236855</wp:posOffset>
          </wp:positionV>
          <wp:extent cx="561975" cy="471170"/>
          <wp:effectExtent l="0" t="0" r="9525" b="5080"/>
          <wp:wrapNone/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6E77">
      <w:tab/>
    </w:r>
    <w:r w:rsidR="00FD6E77">
      <w:br/>
    </w:r>
    <w:r w:rsidR="00FD6E77">
      <w:br/>
    </w:r>
    <w:r w:rsidR="00793302" w:rsidRPr="002B339A">
      <w:rPr>
        <w:rFonts w:asciiTheme="minorHAnsi" w:hAnsiTheme="minorHAnsi"/>
        <w:noProof/>
        <w:lang w:eastAsia="sk-SK"/>
      </w:rPr>
      <w:drawing>
        <wp:anchor distT="0" distB="0" distL="114300" distR="114300" simplePos="0" relativeHeight="251659264" behindDoc="1" locked="0" layoutInCell="1" allowOverlap="1" wp14:anchorId="3126948B" wp14:editId="11C27415">
          <wp:simplePos x="0" y="0"/>
          <wp:positionH relativeFrom="column">
            <wp:posOffset>7299960</wp:posOffset>
          </wp:positionH>
          <wp:positionV relativeFrom="paragraph">
            <wp:posOffset>-244475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6D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6501FD9F" w:rsidR="008718D1" w:rsidRPr="005E6B6E" w:rsidRDefault="008718D1" w:rsidP="001A26D8">
    <w:pPr>
      <w:pStyle w:val="Hlavika"/>
      <w:tabs>
        <w:tab w:val="left" w:pos="8076"/>
        <w:tab w:val="right" w:pos="113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3C28"/>
    <w:rsid w:val="00056CF6"/>
    <w:rsid w:val="00056EA7"/>
    <w:rsid w:val="0006137D"/>
    <w:rsid w:val="0006361E"/>
    <w:rsid w:val="00063B6A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977D6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22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26D8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2ECF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03EB0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243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4610F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30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421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0F81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12AF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6E77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78939070D9464888C2A624E3DD1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5FF39-7C2C-4B13-AE17-145E9CC895CA}"/>
      </w:docPartPr>
      <w:docPartBody>
        <w:p w:rsidR="000A3EEE" w:rsidRDefault="004B3BAB" w:rsidP="004B3BAB">
          <w:pPr>
            <w:pStyle w:val="6978939070D9464888C2A624E3DD1FD0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C9E397F49B73461DADB066E57C3213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A1DE9-DCD7-405F-B651-2D74C32A6262}"/>
      </w:docPartPr>
      <w:docPartBody>
        <w:p w:rsidR="000A3EEE" w:rsidRDefault="004B3BAB" w:rsidP="004B3BAB">
          <w:pPr>
            <w:pStyle w:val="C9E397F49B73461DADB066E57C32131F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A3EEE"/>
    <w:rsid w:val="000D0DF6"/>
    <w:rsid w:val="004B3BAB"/>
    <w:rsid w:val="005B5EE6"/>
    <w:rsid w:val="006E2383"/>
    <w:rsid w:val="00A74980"/>
    <w:rsid w:val="00B62629"/>
    <w:rsid w:val="00BC396A"/>
    <w:rsid w:val="00C31B9D"/>
    <w:rsid w:val="00C40C5F"/>
    <w:rsid w:val="00C8234C"/>
    <w:rsid w:val="00CA2517"/>
    <w:rsid w:val="00CE202A"/>
    <w:rsid w:val="00D44CE6"/>
    <w:rsid w:val="00DB3628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B3BAB"/>
    <w:rPr>
      <w:color w:val="808080"/>
    </w:rPr>
  </w:style>
  <w:style w:type="paragraph" w:customStyle="1" w:styleId="6978939070D9464888C2A624E3DD1FD0">
    <w:name w:val="6978939070D9464888C2A624E3DD1FD0"/>
    <w:rsid w:val="004B3BAB"/>
  </w:style>
  <w:style w:type="paragraph" w:customStyle="1" w:styleId="C9E397F49B73461DADB066E57C32131F">
    <w:name w:val="C9E397F49B73461DADB066E57C32131F"/>
    <w:rsid w:val="004B3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DB1E-DDCC-4B98-AE7C-77DEE3F8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2019-09-23T07:38:00Z</dcterms:created>
  <dcterms:modified xsi:type="dcterms:W3CDTF">2020-10-12T11:34:00Z</dcterms:modified>
</cp:coreProperties>
</file>