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ED38" w14:textId="3DE202B0" w:rsidR="007900C1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228DF534" w14:textId="69156A56" w:rsidR="005414AD" w:rsidRDefault="005414A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759D612C" w14:textId="31A5BF75" w:rsidR="005414AD" w:rsidRDefault="005414A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AEC9B0" w14:textId="527C4B24" w:rsidR="005414AD" w:rsidRDefault="005414A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55B74A1" w14:textId="77777777" w:rsidR="005414AD" w:rsidRPr="009B0208" w:rsidRDefault="005414AD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43CE134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53C6F6D1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3E642AC1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4E770143" w14:textId="5D8FB4C5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467842C1" w14:textId="2204C866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6F7F16F" w14:textId="119B4164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miestnych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produkčno-spotrebiteľských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reťazcov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,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sieťovanie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úrovni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miestnej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ekonomiky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výmena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skúseností</w:t>
            </w:r>
            <w:proofErr w:type="spellEnd"/>
            <w:r w:rsidR="000950EA" w:rsidRPr="008563D7">
              <w:rPr>
                <w:rFonts w:asciiTheme="minorHAnsi" w:hAnsiTheme="minorHAnsi" w:cstheme="minorHAnsi"/>
                <w:color w:val="FFFFFF" w:themeColor="background1"/>
              </w:rPr>
              <w:t>.</w:t>
            </w:r>
          </w:p>
          <w:p w14:paraId="257A9398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1323D46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609855B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4F1D800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39C5AD5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6F97B4C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A00004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10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potravín</w:t>
            </w:r>
            <w:proofErr w:type="spellEnd"/>
          </w:p>
          <w:p w14:paraId="5D177B8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11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nápojov</w:t>
            </w:r>
            <w:proofErr w:type="spellEnd"/>
          </w:p>
          <w:p w14:paraId="68EB0524" w14:textId="72144FAA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12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="00985014" w:rsidRPr="004B763F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1B313622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19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49F67A1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FB67FA1" w14:textId="33A8E248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70FDA784" w14:textId="026BF072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I – Ubytovacie a stravovacie služby – celá sekcia neoprávnená</w:t>
            </w:r>
          </w:p>
          <w:p w14:paraId="0D84940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21E1D00" w14:textId="4E8AA006" w:rsidR="00F64E2F" w:rsidRPr="00F64E2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vidieckeho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cestovného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ruchu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   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potravinárstva</w:t>
            </w:r>
            <w:proofErr w:type="spellEnd"/>
          </w:p>
          <w:p w14:paraId="0EA5B0AC" w14:textId="0E871FF3" w:rsidR="00F64E2F" w:rsidRPr="00773273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884FC7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45BDE793" w14:textId="5B48CC47" w:rsidR="00856D01" w:rsidRPr="005414AD" w:rsidRDefault="00856D01" w:rsidP="004B5802">
      <w:pPr>
        <w:rPr>
          <w:rFonts w:asciiTheme="minorHAnsi" w:hAnsiTheme="minorHAnsi" w:cstheme="minorHAnsi"/>
        </w:rPr>
      </w:pPr>
    </w:p>
    <w:sectPr w:rsidR="00856D01" w:rsidRPr="005414AD" w:rsidSect="00114544">
      <w:headerReference w:type="first" r:id="rId15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4279" w14:textId="77777777" w:rsidR="00005A51" w:rsidRDefault="00005A51" w:rsidP="007900C1">
      <w:r>
        <w:separator/>
      </w:r>
    </w:p>
  </w:endnote>
  <w:endnote w:type="continuationSeparator" w:id="0">
    <w:p w14:paraId="7CAA17FE" w14:textId="77777777" w:rsidR="00005A51" w:rsidRDefault="00005A51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4AAB" w14:textId="77777777" w:rsidR="00804081" w:rsidRDefault="008040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48D8" w14:textId="77777777" w:rsidR="00804081" w:rsidRDefault="008040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EF48" w14:textId="77777777" w:rsidR="00005A51" w:rsidRDefault="00005A51" w:rsidP="007900C1">
      <w:r>
        <w:separator/>
      </w:r>
    </w:p>
  </w:footnote>
  <w:footnote w:type="continuationSeparator" w:id="0">
    <w:p w14:paraId="3800278C" w14:textId="77777777" w:rsidR="00005A51" w:rsidRDefault="00005A51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97AA" w14:textId="77777777" w:rsidR="00804081" w:rsidRDefault="008040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EC0B" w14:textId="22DD5775" w:rsidR="00A76425" w:rsidRDefault="00804081" w:rsidP="00437D9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3600" behindDoc="0" locked="0" layoutInCell="1" allowOverlap="1" wp14:anchorId="2070FB3F" wp14:editId="379A93E4">
          <wp:simplePos x="0" y="0"/>
          <wp:positionH relativeFrom="column">
            <wp:posOffset>1863725</wp:posOffset>
          </wp:positionH>
          <wp:positionV relativeFrom="paragraph">
            <wp:posOffset>-61595</wp:posOffset>
          </wp:positionV>
          <wp:extent cx="1600200" cy="367553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72C8F7F5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77777777" w:rsidR="00A76425" w:rsidRDefault="00A764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760A" w14:textId="690D13F0" w:rsidR="00A76425" w:rsidRDefault="004912FA" w:rsidP="005414AD">
    <w:pPr>
      <w:pStyle w:val="Hlavika"/>
      <w:tabs>
        <w:tab w:val="center" w:pos="2255"/>
        <w:tab w:val="right" w:pos="4510"/>
      </w:tabs>
      <w:jc w:val="left"/>
      <w:rPr>
        <w:rFonts w:ascii="Arial Narrow" w:hAnsi="Arial Narrow"/>
        <w:sz w:val="20"/>
      </w:rPr>
    </w:pPr>
    <w:r w:rsidRPr="004912FA">
      <w:rPr>
        <w:rFonts w:ascii="Arial Narrow" w:hAnsi="Arial Narrow"/>
        <w:noProof/>
        <w:sz w:val="20"/>
      </w:rPr>
      <w:drawing>
        <wp:anchor distT="0" distB="0" distL="114300" distR="114300" simplePos="0" relativeHeight="251671552" behindDoc="0" locked="0" layoutInCell="1" allowOverlap="1" wp14:anchorId="6C2C8D82" wp14:editId="505D1238">
          <wp:simplePos x="0" y="0"/>
          <wp:positionH relativeFrom="margin">
            <wp:posOffset>2300605</wp:posOffset>
          </wp:positionH>
          <wp:positionV relativeFrom="paragraph">
            <wp:posOffset>-68580</wp:posOffset>
          </wp:positionV>
          <wp:extent cx="1426210" cy="327660"/>
          <wp:effectExtent l="0" t="0" r="254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4A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649C3196">
          <wp:simplePos x="0" y="0"/>
          <wp:positionH relativeFrom="column">
            <wp:posOffset>3889375</wp:posOffset>
          </wp:positionH>
          <wp:positionV relativeFrom="paragraph">
            <wp:posOffset>-154305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4A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2AADCFAD">
          <wp:simplePos x="0" y="0"/>
          <wp:positionH relativeFrom="column">
            <wp:posOffset>1307465</wp:posOffset>
          </wp:positionH>
          <wp:positionV relativeFrom="paragraph">
            <wp:posOffset>-130175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14AD" w:rsidRPr="006A295F"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40D1D4D3" wp14:editId="1F15FF15">
          <wp:simplePos x="0" y="0"/>
          <wp:positionH relativeFrom="margin">
            <wp:posOffset>327025</wp:posOffset>
          </wp:positionH>
          <wp:positionV relativeFrom="paragraph">
            <wp:posOffset>-121920</wp:posOffset>
          </wp:positionV>
          <wp:extent cx="470376" cy="388620"/>
          <wp:effectExtent l="0" t="0" r="635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76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4AD">
      <w:rPr>
        <w:rFonts w:ascii="Arial Narrow" w:hAnsi="Arial Narrow"/>
        <w:sz w:val="20"/>
      </w:rPr>
      <w:tab/>
    </w:r>
    <w:r w:rsidR="005414AD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7A63FDD0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18979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C99A" w14:textId="77777777" w:rsidR="00A76425" w:rsidRPr="001B5DCB" w:rsidRDefault="00A76425" w:rsidP="00437D96">
    <w:pPr>
      <w:pStyle w:val="Hlavika"/>
      <w:tabs>
        <w:tab w:val="right" w:pos="14004"/>
      </w:tabs>
    </w:pPr>
    <w:r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05A51"/>
    <w:rsid w:val="000114D9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52FF"/>
    <w:rsid w:val="00106314"/>
    <w:rsid w:val="00113C2C"/>
    <w:rsid w:val="00114544"/>
    <w:rsid w:val="001334FC"/>
    <w:rsid w:val="00156322"/>
    <w:rsid w:val="001663AC"/>
    <w:rsid w:val="001770B0"/>
    <w:rsid w:val="001A66A4"/>
    <w:rsid w:val="001B4D56"/>
    <w:rsid w:val="001F08C9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A78DE"/>
    <w:rsid w:val="003D61B8"/>
    <w:rsid w:val="003E0C5A"/>
    <w:rsid w:val="003F6B8D"/>
    <w:rsid w:val="00420279"/>
    <w:rsid w:val="004234C1"/>
    <w:rsid w:val="00437D96"/>
    <w:rsid w:val="00450EE2"/>
    <w:rsid w:val="00455F27"/>
    <w:rsid w:val="004912FA"/>
    <w:rsid w:val="004A07A8"/>
    <w:rsid w:val="004A17A5"/>
    <w:rsid w:val="004A704B"/>
    <w:rsid w:val="004B5802"/>
    <w:rsid w:val="004B763F"/>
    <w:rsid w:val="004C49AD"/>
    <w:rsid w:val="00507295"/>
    <w:rsid w:val="005265E1"/>
    <w:rsid w:val="005414AD"/>
    <w:rsid w:val="00545CDC"/>
    <w:rsid w:val="005A67D1"/>
    <w:rsid w:val="005E412A"/>
    <w:rsid w:val="006C0D2C"/>
    <w:rsid w:val="006E0BA1"/>
    <w:rsid w:val="00707EA7"/>
    <w:rsid w:val="007178B7"/>
    <w:rsid w:val="00722D6C"/>
    <w:rsid w:val="00732593"/>
    <w:rsid w:val="007723AE"/>
    <w:rsid w:val="00773273"/>
    <w:rsid w:val="007900C1"/>
    <w:rsid w:val="00791038"/>
    <w:rsid w:val="00796060"/>
    <w:rsid w:val="007A1D28"/>
    <w:rsid w:val="007C283F"/>
    <w:rsid w:val="00804081"/>
    <w:rsid w:val="008563D7"/>
    <w:rsid w:val="00856D01"/>
    <w:rsid w:val="008756EC"/>
    <w:rsid w:val="00880DAE"/>
    <w:rsid w:val="00884FC7"/>
    <w:rsid w:val="00895F5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76425"/>
    <w:rsid w:val="00AD3328"/>
    <w:rsid w:val="00B0092A"/>
    <w:rsid w:val="00B24ED0"/>
    <w:rsid w:val="00B46148"/>
    <w:rsid w:val="00B505EC"/>
    <w:rsid w:val="00B73919"/>
    <w:rsid w:val="00B7415C"/>
    <w:rsid w:val="00B9191A"/>
    <w:rsid w:val="00B97C29"/>
    <w:rsid w:val="00BA25DC"/>
    <w:rsid w:val="00CA3F91"/>
    <w:rsid w:val="00CC5DB8"/>
    <w:rsid w:val="00CD4576"/>
    <w:rsid w:val="00D27547"/>
    <w:rsid w:val="00D30727"/>
    <w:rsid w:val="00D4450F"/>
    <w:rsid w:val="00D76D93"/>
    <w:rsid w:val="00D80A8E"/>
    <w:rsid w:val="00DA2EC4"/>
    <w:rsid w:val="00DD6BA2"/>
    <w:rsid w:val="00E10467"/>
    <w:rsid w:val="00E20668"/>
    <w:rsid w:val="00E25773"/>
    <w:rsid w:val="00E64C0E"/>
    <w:rsid w:val="00ED21AB"/>
    <w:rsid w:val="00F050EA"/>
    <w:rsid w:val="00F246B5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DAEC-B676-454D-B30B-6AB4DC1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HT2</cp:lastModifiedBy>
  <cp:revision>9</cp:revision>
  <dcterms:created xsi:type="dcterms:W3CDTF">2019-06-25T10:49:00Z</dcterms:created>
  <dcterms:modified xsi:type="dcterms:W3CDTF">2020-10-12T11:33:00Z</dcterms:modified>
</cp:coreProperties>
</file>