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86ED38" w14:textId="6F0FB5C6" w:rsidR="007900C1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48BD50A9" w14:textId="21CC343F" w:rsidR="00E2377E" w:rsidRDefault="00E2377E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1FD07FD" w14:textId="53284A1A" w:rsidR="00E2377E" w:rsidRDefault="00E2377E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4BAFB571" w14:textId="77777777" w:rsidR="00E2377E" w:rsidRPr="009B0208" w:rsidRDefault="00E2377E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5D47395C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10706B39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Integrovaný regionálny operačný program</w:t>
      </w:r>
    </w:p>
    <w:p w14:paraId="43CE134B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2014 – 2020</w:t>
      </w:r>
    </w:p>
    <w:p w14:paraId="53C6F6D1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Prioritná os 5 Miestny rozvoj vedený komunitou</w:t>
      </w:r>
    </w:p>
    <w:p w14:paraId="12F79036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3E642AC1" w14:textId="77777777" w:rsidR="007900C1" w:rsidRPr="009B0208" w:rsidRDefault="00B505EC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 w:rsidRPr="009B0208">
        <w:rPr>
          <w:rFonts w:asciiTheme="minorHAnsi" w:hAnsiTheme="minorHAnsi" w:cstheme="minorHAnsi"/>
          <w:b/>
          <w:color w:val="1F497D"/>
          <w:sz w:val="36"/>
          <w:szCs w:val="36"/>
        </w:rPr>
        <w:t>Špecifikácia rozsahu oprávnených aktivít a oprávnených výdavkov</w:t>
      </w:r>
    </w:p>
    <w:p w14:paraId="6961FD72" w14:textId="77777777" w:rsidR="007900C1" w:rsidRPr="009B0208" w:rsidRDefault="007900C1" w:rsidP="007900C1">
      <w:pPr>
        <w:spacing w:before="120" w:after="120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</w:p>
    <w:p w14:paraId="41BE298A" w14:textId="7CD0BDD6" w:rsidR="007900C1" w:rsidRPr="009B0208" w:rsidRDefault="00E2377E" w:rsidP="00E2377E">
      <w:pPr>
        <w:spacing w:before="120" w:after="120"/>
        <w:ind w:left="1843" w:hanging="1843"/>
        <w:jc w:val="center"/>
        <w:rPr>
          <w:rFonts w:asciiTheme="minorHAnsi" w:hAnsiTheme="minorHAnsi" w:cstheme="minorHAnsi"/>
          <w:b/>
          <w:color w:val="1F497D"/>
          <w:sz w:val="36"/>
          <w:szCs w:val="36"/>
        </w:rPr>
      </w:pPr>
      <w:r>
        <w:rPr>
          <w:rFonts w:asciiTheme="minorHAnsi" w:hAnsiTheme="minorHAnsi" w:cstheme="minorHAnsi"/>
          <w:b/>
          <w:color w:val="1F497D"/>
          <w:sz w:val="36"/>
          <w:szCs w:val="36"/>
        </w:rPr>
        <w:t>Miestna akčná skupina HORNÁ TOPĽA</w:t>
      </w:r>
    </w:p>
    <w:p w14:paraId="0B9B4B82" w14:textId="77777777" w:rsidR="007900C1" w:rsidRPr="009B0208" w:rsidRDefault="007900C1" w:rsidP="007900C1">
      <w:pPr>
        <w:rPr>
          <w:rFonts w:asciiTheme="minorHAnsi" w:hAnsiTheme="minorHAnsi" w:cstheme="minorHAnsi"/>
          <w:b/>
          <w:sz w:val="28"/>
        </w:rPr>
      </w:pPr>
    </w:p>
    <w:p w14:paraId="5FAC81A2" w14:textId="77777777" w:rsidR="007900C1" w:rsidRPr="009B0208" w:rsidRDefault="007900C1" w:rsidP="007900C1">
      <w:pPr>
        <w:rPr>
          <w:rFonts w:asciiTheme="minorHAnsi" w:eastAsia="Calibri" w:hAnsiTheme="minorHAnsi" w:cstheme="minorHAnsi"/>
          <w:b/>
          <w:smallCaps/>
          <w:sz w:val="20"/>
        </w:rPr>
      </w:pPr>
    </w:p>
    <w:p w14:paraId="1BDD1E09" w14:textId="0EB85DE6" w:rsidR="007900C1" w:rsidRPr="009B0208" w:rsidRDefault="007900C1" w:rsidP="007900C1">
      <w:pPr>
        <w:spacing w:before="120" w:after="120"/>
        <w:ind w:left="3540" w:firstLine="708"/>
        <w:jc w:val="center"/>
        <w:rPr>
          <w:rFonts w:asciiTheme="minorHAnsi" w:hAnsiTheme="minorHAnsi" w:cstheme="minorHAnsi"/>
          <w:sz w:val="20"/>
        </w:rPr>
        <w:sectPr w:rsidR="007900C1" w:rsidRPr="009B0208" w:rsidSect="00437D96">
          <w:headerReference w:type="default" r:id="rId8"/>
          <w:footerReference w:type="default" r:id="rId9"/>
          <w:headerReference w:type="first" r:id="rId10"/>
          <w:pgSz w:w="11906" w:h="16838"/>
          <w:pgMar w:top="709" w:right="1417" w:bottom="1417" w:left="1417" w:header="708" w:footer="708" w:gutter="0"/>
          <w:cols w:space="708"/>
          <w:titlePg/>
          <w:docGrid w:linePitch="360"/>
        </w:sectPr>
      </w:pPr>
    </w:p>
    <w:p w14:paraId="1689B806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3C658BF5" w14:textId="77777777" w:rsidR="00D80A8E" w:rsidRPr="009B0208" w:rsidRDefault="00D80A8E" w:rsidP="007900C1">
      <w:pPr>
        <w:ind w:left="-426"/>
        <w:jc w:val="both"/>
        <w:rPr>
          <w:rFonts w:asciiTheme="minorHAnsi" w:hAnsiTheme="minorHAnsi" w:cstheme="minorHAnsi"/>
        </w:rPr>
      </w:pPr>
    </w:p>
    <w:tbl>
      <w:tblPr>
        <w:tblStyle w:val="Mriekatabuky"/>
        <w:tblW w:w="14601" w:type="dxa"/>
        <w:tblInd w:w="-289" w:type="dxa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14601"/>
      </w:tblGrid>
      <w:tr w:rsidR="007A1D28" w:rsidRPr="009B0208" w14:paraId="4003EEEE" w14:textId="77777777" w:rsidTr="00773273">
        <w:tc>
          <w:tcPr>
            <w:tcW w:w="14601" w:type="dxa"/>
            <w:shd w:val="clear" w:color="auto" w:fill="A6A6A6" w:themeFill="background1" w:themeFillShade="A6"/>
          </w:tcPr>
          <w:p w14:paraId="1EB6FE50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Upozornenie:</w:t>
            </w:r>
          </w:p>
          <w:p w14:paraId="580DAB0D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Oprávnené sú iba tie </w:t>
            </w:r>
            <w:r w:rsidRPr="009B0208">
              <w:rPr>
                <w:rFonts w:asciiTheme="minorHAnsi" w:hAnsiTheme="minorHAnsi" w:cstheme="minorHAnsi"/>
                <w:b/>
                <w:sz w:val="22"/>
                <w:szCs w:val="22"/>
                <w:lang w:val="sk-SK"/>
              </w:rPr>
              <w:t>výdavky, ktoré sú nevyhnutné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pre realizáciu a dosiahnutie cieľov projektu.</w:t>
            </w:r>
          </w:p>
          <w:p w14:paraId="73262991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Daň z pridanej hodnoty (ďalej len „DPH“) sa považuje za neoprávnený výdavok v prípade, ak:</w:t>
            </w:r>
          </w:p>
          <w:p w14:paraId="461FC079" w14:textId="3A4EB34C" w:rsidR="007A1D28" w:rsidRPr="009B0208" w:rsidRDefault="00114544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žiadateľ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 má nárok na vrátanie (odpočet) DPH za nadobudnutý a/alebo zhodnotený majetok, ktorý je financovaný z príspevku;</w:t>
            </w:r>
          </w:p>
          <w:p w14:paraId="4B27C95C" w14:textId="78413E14" w:rsidR="007A1D28" w:rsidRPr="009B0208" w:rsidRDefault="007A1D28" w:rsidP="00773273">
            <w:pPr>
              <w:pStyle w:val="Odsekzoznamu"/>
              <w:numPr>
                <w:ilvl w:val="0"/>
                <w:numId w:val="4"/>
              </w:numPr>
              <w:ind w:left="606" w:right="85" w:hanging="357"/>
              <w:contextualSpacing w:val="0"/>
              <w:jc w:val="both"/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z prevádzkovania majetku nadobudnutého a/alebo zhodnoteného z poskytnutého príspevku plynú akékoľvek príjmy z ekonomickej činnosti, pričom na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>účely tejto činnosti sa prevádzkovateľ tohto majetku stáva zdaniteľnou osobou podľa § 3 zákona o DPH</w:t>
            </w:r>
            <w:r w:rsidRPr="00773273">
              <w:rPr>
                <w:rFonts w:asciiTheme="minorHAnsi" w:hAnsiTheme="minorHAnsi" w:cstheme="minorHAnsi"/>
                <w:szCs w:val="22"/>
                <w:vertAlign w:val="superscript"/>
              </w:rPr>
              <w:footnoteReference w:id="1"/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 w:eastAsia="en-US"/>
              </w:rPr>
              <w:t xml:space="preserve">. </w:t>
            </w:r>
          </w:p>
          <w:p w14:paraId="50649B5F" w14:textId="77777777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</w:p>
          <w:p w14:paraId="3EA97A42" w14:textId="25EB3785" w:rsidR="007A1D28" w:rsidRPr="009B0208" w:rsidRDefault="007A1D28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sz w:val="22"/>
                <w:szCs w:val="22"/>
                <w:lang w:val="sk-SK"/>
              </w:rPr>
            </w:pP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Výdavky, obstarávané dodávateľským spôsobom, na ktorých obstaranie sa vzťahujú pravidlá verejného obstarávania, musia byť obstarané v súlade so zákonom o</w:t>
            </w:r>
            <w:r w:rsidR="009A1FA7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 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verejnom obstarávaní a usmerneniami RO pre IROP k procesom verejného obstarávania.</w:t>
            </w:r>
          </w:p>
          <w:p w14:paraId="278BFA09" w14:textId="46BBAC52" w:rsidR="007A1D28" w:rsidRPr="009B0208" w:rsidRDefault="001F08C9" w:rsidP="00773273">
            <w:pPr>
              <w:spacing w:before="60" w:after="60"/>
              <w:ind w:left="85" w:right="85"/>
              <w:jc w:val="both"/>
              <w:rPr>
                <w:rFonts w:asciiTheme="minorHAnsi" w:hAnsiTheme="minorHAnsi" w:cstheme="minorHAnsi"/>
                <w:lang w:val="sk-SK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je povinný zostaviť rozpočet projektu, pričom ako oprávnené výdavky si môže nárokovať len tie, ktoré spadajú do </w:t>
            </w:r>
            <w:r w:rsidR="00041EA6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nižšie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uvedené definičného rámca. </w:t>
            </w:r>
            <w:r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Žiadateľ</w:t>
            </w:r>
            <w:r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 xml:space="preserve"> </w:t>
            </w:r>
            <w:r w:rsidR="007A1D28" w:rsidRPr="009B0208">
              <w:rPr>
                <w:rFonts w:asciiTheme="minorHAnsi" w:hAnsiTheme="minorHAnsi" w:cstheme="minorHAnsi"/>
                <w:sz w:val="22"/>
                <w:szCs w:val="22"/>
                <w:lang w:val="sk-SK"/>
              </w:rPr>
              <w:t>v rozpočte projektu vecne odôvodní, že jeho výdavky spadajú do uvedeného rámca a tiež zdôvodní ich potrebu, resp. nevyhnutnosť pre úspešnú realizáciu projektu.</w:t>
            </w:r>
          </w:p>
        </w:tc>
      </w:tr>
    </w:tbl>
    <w:p w14:paraId="71F1FB1F" w14:textId="77777777" w:rsidR="007900C1" w:rsidRPr="009B0208" w:rsidRDefault="007900C1" w:rsidP="007900C1">
      <w:pPr>
        <w:ind w:left="-426"/>
        <w:jc w:val="both"/>
        <w:rPr>
          <w:rFonts w:asciiTheme="minorHAnsi" w:hAnsiTheme="minorHAnsi" w:cstheme="minorHAnsi"/>
        </w:rPr>
      </w:pPr>
    </w:p>
    <w:p w14:paraId="61E92D74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</w:rPr>
      </w:pPr>
    </w:p>
    <w:p w14:paraId="4981B439" w14:textId="77777777" w:rsidR="00856D01" w:rsidRPr="009B0208" w:rsidRDefault="00856D01" w:rsidP="00D80A8E">
      <w:pPr>
        <w:ind w:left="-284"/>
        <w:jc w:val="both"/>
        <w:rPr>
          <w:rFonts w:asciiTheme="minorHAnsi" w:hAnsiTheme="minorHAnsi" w:cstheme="minorHAnsi"/>
          <w:i/>
          <w:highlight w:val="yellow"/>
        </w:rPr>
        <w:sectPr w:rsidR="00856D01" w:rsidRPr="009B0208" w:rsidSect="00437D96">
          <w:headerReference w:type="first" r:id="rId11"/>
          <w:pgSz w:w="16838" w:h="11906" w:orient="landscape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14:paraId="78FCA15A" w14:textId="2ED07C67" w:rsidR="00937035" w:rsidRPr="009B0208" w:rsidRDefault="00937035">
      <w:pPr>
        <w:rPr>
          <w:rFonts w:asciiTheme="minorHAnsi" w:hAnsiTheme="minorHAnsi" w:cstheme="minorHAnsi"/>
        </w:rPr>
      </w:pPr>
    </w:p>
    <w:tbl>
      <w:tblPr>
        <w:tblStyle w:val="Deloittetable21"/>
        <w:tblW w:w="14427" w:type="dxa"/>
        <w:tblInd w:w="-398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6063"/>
        <w:gridCol w:w="8364"/>
      </w:tblGrid>
      <w:tr w:rsidR="00856D01" w:rsidRPr="009B0208" w14:paraId="3611E7E6" w14:textId="77777777" w:rsidTr="001145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2398C031" w14:textId="07378BD8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Špecifický cieľ 5.1.2 - Zlepšenie udržateľných vzťahov medzi vidieckymi rozvojovými centrami a ich zázemím vo verejných službách a vo verejných infraštruktúrach</w:t>
            </w:r>
          </w:p>
        </w:tc>
      </w:tr>
      <w:tr w:rsidR="00856D01" w:rsidRPr="009B0208" w14:paraId="06EB94DB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67FA430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Rozvoj základnej infraštruktúry v oblastiach:</w:t>
            </w:r>
          </w:p>
        </w:tc>
      </w:tr>
      <w:tr w:rsidR="00856D01" w:rsidRPr="009B0208" w14:paraId="0606339F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16BA5972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B1. Investície do cyklistických trás a súvisiacej podpornej infraštruktúry</w:t>
            </w:r>
          </w:p>
        </w:tc>
      </w:tr>
      <w:tr w:rsidR="00856D01" w:rsidRPr="009B0208" w14:paraId="7A9C422F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36F71FF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Popis oprávnenej aktivity:</w:t>
            </w:r>
          </w:p>
          <w:p w14:paraId="41934D2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výstavba cyklistických trás zabezpečujúcich dopravu osôb do a zo zamestnania alebo k verejným službám,</w:t>
            </w:r>
          </w:p>
          <w:p w14:paraId="4B04CBDB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rekonštrukcia cyklistických trás zabezpečujúcich dopravu osôb do a zo zamestnania alebo k verejným službám,</w:t>
            </w:r>
          </w:p>
          <w:p w14:paraId="120D6ADA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budovanie verejného osvetlenia v priamej nadväznosti na výstavbu, alebo rekonštrukciu cyklotrasy,</w:t>
            </w:r>
          </w:p>
          <w:p w14:paraId="27C8DBF4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vyhradenie jazdných pruhov pre cyklistov,</w:t>
            </w:r>
          </w:p>
          <w:p w14:paraId="5FAAE04D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• Investície do doplnkovej infraštruktúry -  chránené parkoviská pre bicykle,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cyklostojany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 xml:space="preserve">, nabíjacie stanice pre </w:t>
            </w:r>
            <w:proofErr w:type="spellStart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, odpočívadlá,</w:t>
            </w:r>
          </w:p>
          <w:p w14:paraId="396BE0C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• systémy automatickej požičovne bicyklov, hygienické zariadenia</w:t>
            </w:r>
          </w:p>
        </w:tc>
      </w:tr>
      <w:tr w:rsidR="00856D01" w:rsidRPr="009B0208" w14:paraId="470FCD22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4427" w:type="dxa"/>
            <w:gridSpan w:val="2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E7E6E6" w:themeColor="background2"/>
              <w:right w:val="single" w:sz="4" w:space="0" w:color="9CC2E5" w:themeColor="accent1" w:themeTint="99"/>
            </w:tcBorders>
            <w:shd w:val="clear" w:color="auto" w:fill="4F81BD"/>
          </w:tcPr>
          <w:p w14:paraId="57A3EEDF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Oprávnené výdavky</w:t>
            </w:r>
          </w:p>
        </w:tc>
      </w:tr>
      <w:tr w:rsidR="00856D01" w:rsidRPr="009B0208" w14:paraId="61E0A355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E7E6E6" w:themeColor="background2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E7E6E6" w:themeColor="background2"/>
            </w:tcBorders>
            <w:shd w:val="clear" w:color="auto" w:fill="4F81BD"/>
          </w:tcPr>
          <w:p w14:paraId="443D6F50" w14:textId="77777777" w:rsidR="00856D01" w:rsidRPr="009B0208" w:rsidRDefault="00856D01" w:rsidP="00437D96">
            <w:pPr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Skupina oprávnených výdavkov</w:t>
            </w:r>
          </w:p>
        </w:tc>
        <w:tc>
          <w:tcPr>
            <w:tcW w:w="8364" w:type="dxa"/>
            <w:tcBorders>
              <w:top w:val="single" w:sz="4" w:space="0" w:color="E7E6E6" w:themeColor="background2"/>
              <w:left w:val="single" w:sz="4" w:space="0" w:color="E7E6E6" w:themeColor="background2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4F81BD"/>
          </w:tcPr>
          <w:p w14:paraId="03E4215D" w14:textId="77777777" w:rsidR="00856D01" w:rsidRPr="009B0208" w:rsidRDefault="00856D01" w:rsidP="00437D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FFFFFF" w:themeColor="background1"/>
                <w:lang w:val="sk-SK"/>
              </w:rPr>
              <w:t>Vecný popis výdavku</w:t>
            </w:r>
          </w:p>
        </w:tc>
      </w:tr>
      <w:tr w:rsidR="00856D01" w:rsidRPr="009B0208" w14:paraId="6AD4AF87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1E6D6B7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013 - Softvér vo výške obstarávacej ceny</w:t>
            </w:r>
          </w:p>
        </w:tc>
        <w:tc>
          <w:tcPr>
            <w:tcW w:w="836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FC7CE00" w14:textId="016AB8A8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výdavky na obstaranie softvéru vrátane výdavkov na obstaranie licencií súvisiacich s používaním softvéru - napr. riadiaci softvér pre nabíjacie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elektrostanice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softvér pre riadenie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cyklopremávky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pod.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4FFEDDCB" w14:textId="7BEEF107" w:rsidR="00856D01" w:rsidRPr="009B0208" w:rsidRDefault="00856D01" w:rsidP="005A67D1">
            <w:pPr>
              <w:pStyle w:val="Default"/>
              <w:widowControl w:val="0"/>
              <w:numPr>
                <w:ilvl w:val="0"/>
                <w:numId w:val="6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modernizácia softvéru – napr. upgrade (pridávanie nových funkcionalít zhodnocujúcich softvér)</w:t>
            </w:r>
            <w:r w:rsidR="005A67D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pre nabíjacie </w:t>
            </w:r>
            <w:proofErr w:type="spellStart"/>
            <w:r w:rsidR="005A67D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elektrostanice</w:t>
            </w:r>
            <w:proofErr w:type="spellEnd"/>
            <w:r w:rsidR="005A67D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pre softvér na riadenie </w:t>
            </w:r>
            <w:proofErr w:type="spellStart"/>
            <w:r w:rsidR="005A67D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cyklopremávky</w:t>
            </w:r>
            <w:proofErr w:type="spellEnd"/>
            <w:r w:rsidR="005A67D1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pod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.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11A8E08C" w14:textId="77777777" w:rsidR="005A67D1" w:rsidRPr="009B0208" w:rsidRDefault="005A67D1" w:rsidP="005265E1">
            <w:pPr>
              <w:pStyle w:val="Default"/>
              <w:widowControl w:val="0"/>
              <w:ind w:left="72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</w:p>
          <w:p w14:paraId="7F368D39" w14:textId="520D4737" w:rsidR="005A67D1" w:rsidRPr="009B0208" w:rsidRDefault="005A67D1" w:rsidP="005265E1">
            <w:pPr>
              <w:pStyle w:val="Default"/>
              <w:widowControl w:val="0"/>
              <w:ind w:left="714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Výdavky na softvér sú oprávnené len v kombinácii s oprávnenými výdavkami uvedenými aspoň v rámci jednej inej skupiny výdavkov pre túto oprávnenú aktivitu</w:t>
            </w:r>
            <w:r w:rsidR="00B73919" w:rsidRPr="009B0208">
              <w:rPr>
                <w:rFonts w:asciiTheme="minorHAnsi" w:hAnsiTheme="minorHAnsi" w:cstheme="minorHAnsi"/>
                <w:b/>
                <w:color w:val="auto"/>
                <w:sz w:val="19"/>
                <w:szCs w:val="19"/>
                <w:lang w:val="sk-SK"/>
              </w:rPr>
              <w:t>.</w:t>
            </w:r>
          </w:p>
        </w:tc>
      </w:tr>
      <w:tr w:rsidR="00856D01" w:rsidRPr="009B0208" w14:paraId="65056D80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232BC485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021 - Stavebné práce vo výške obstarávacej ceny</w:t>
            </w:r>
          </w:p>
        </w:tc>
        <w:tc>
          <w:tcPr>
            <w:tcW w:w="836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11EEAC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realizácia nových stavieb nemotorovej dopravy, ako napríklad:</w:t>
            </w:r>
          </w:p>
          <w:p w14:paraId="7A217A34" w14:textId="4A64DD26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cyklistických komunikácií,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(samostatná cyklistická cestička, samostatný cyklistický pruh,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spoločná cestička pre chodcov a cyklistov),</w:t>
            </w:r>
          </w:p>
          <w:p w14:paraId="715A19A5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doplnkovej cyklistickej infraštruktúry (chránené parkoviská pre bicykle (kryté stojany, automatické parkovacie systémy, a pod.),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cyklostojany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nabíjacie stanice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(ako zabudované stroje, prístroje a zariadenia, ktoré sú súčasťou stavby), hygienické zariadenia, cyklistické odpočívadlo a pod.),</w:t>
            </w:r>
          </w:p>
          <w:p w14:paraId="2896B96B" w14:textId="1A84CDAE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7"/>
              </w:numPr>
              <w:ind w:left="1041" w:hanging="283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vybavenie cyklistickej komunikácie (schodiskové žliabky, osvetlenie, cyklistické spomaľovače a pod.), ako súčasť vyššie uvedených aktivít</w:t>
            </w:r>
            <w:r w:rsidR="00B7391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</w:t>
            </w:r>
          </w:p>
          <w:p w14:paraId="3953F5B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rekonštrukcie, modernizácia a stavebno-technické úpravy existujúcej infraštruktúry pre nemotorovú dopravu s možnosťou celoročnej prevádzky, vrátane vybavenia cyklistickej komunikácie (osvetlenie, cyklistické spomaľovače a pod.), sadových úprav a zelene,</w:t>
            </w:r>
          </w:p>
        </w:tc>
      </w:tr>
      <w:tr w:rsidR="00856D01" w:rsidRPr="009B0208" w14:paraId="645A9E3F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1C46BE6A" w14:textId="5D2D416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lastRenderedPageBreak/>
              <w:t>022 – Samostatné hnuteľné veci a súbory hnuteľných</w:t>
            </w:r>
            <w:r w:rsidR="00B97C29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vecí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vo výške obstarávacej ceny</w:t>
            </w:r>
          </w:p>
        </w:tc>
        <w:tc>
          <w:tcPr>
            <w:tcW w:w="836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103A619" w14:textId="73D352A4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hygienické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zariadenia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,</w:t>
            </w:r>
          </w:p>
          <w:p w14:paraId="6407F2C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výpočtová a telekomunikačná technika bezprostredne súvisiaca s implementáciou projektu,</w:t>
            </w:r>
          </w:p>
          <w:p w14:paraId="1FF8E8FA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prevádzkové a špeciálne stroje, prístroje, zariadenia, technika a náradie (napr. nabíjacia stanica), </w:t>
            </w:r>
          </w:p>
          <w:p w14:paraId="2B0E72E6" w14:textId="212C177A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komunikačná infraštruktúra</w:t>
            </w:r>
            <w:r w:rsidR="002A4B1F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(napr. v súvislosti s (audio)vizuálnym monitorovaním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cyklochodníkov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cyklistických komunikácií, v súvislosti s nabíjacími stanicami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so systémami automatickej požičovne bicyklov a pod.)</w:t>
            </w:r>
          </w:p>
        </w:tc>
      </w:tr>
      <w:tr w:rsidR="00856D01" w:rsidRPr="009B0208" w14:paraId="01E26907" w14:textId="77777777" w:rsidTr="00114544">
        <w:trPr>
          <w:trHeight w:val="3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0375B5AD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029  Ostatný dlhodobý hmotný  majetok vo výške obstarávacej ceny</w:t>
            </w:r>
          </w:p>
        </w:tc>
        <w:tc>
          <w:tcPr>
            <w:tcW w:w="836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55C758B5" w14:textId="12825F64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hygienické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 xml:space="preserve">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zariadenia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</w:rPr>
              <w:t>,</w:t>
            </w:r>
          </w:p>
          <w:p w14:paraId="5BA2EDB2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výpočtová a telekomunikačná technika bezprostredne súvisiaca s implementáciou projektu,</w:t>
            </w:r>
          </w:p>
          <w:p w14:paraId="1485AC9E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prevádzkové a špeciálne stroje, prístroje, zariadenia, technika a náradie (napr. nabíjacia stanica), </w:t>
            </w:r>
          </w:p>
          <w:p w14:paraId="673BF2E7" w14:textId="00FCD700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komunikačná infraštruktúra</w:t>
            </w:r>
            <w:r w:rsidR="002A4B1F"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</w:t>
            </w: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(napr. v súvislosti s (audio)vizuálnym monitorovaním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cyklochodníkov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,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cyklokoridorov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a cyklistických komunikácií, v súvislosti s nabíjacími stanicami pre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elektrobicykle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, so systémami automatickej požičovne bicyklov a pod.)</w:t>
            </w:r>
          </w:p>
        </w:tc>
      </w:tr>
      <w:tr w:rsidR="00856D01" w:rsidRPr="009B0208" w14:paraId="4387316C" w14:textId="77777777" w:rsidTr="00114544">
        <w:trPr>
          <w:trHeight w:val="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063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65E3F49A" w14:textId="77777777" w:rsidR="00856D01" w:rsidRPr="009B0208" w:rsidRDefault="00856D01" w:rsidP="00437D96">
            <w:pPr>
              <w:pStyle w:val="Default"/>
              <w:widowControl w:val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023 Dopravné prostriedky vo výške obstarávacej ceny</w:t>
            </w:r>
          </w:p>
        </w:tc>
        <w:tc>
          <w:tcPr>
            <w:tcW w:w="8364" w:type="dxa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shd w:val="clear" w:color="auto" w:fill="FFFFFF" w:themeFill="background1"/>
          </w:tcPr>
          <w:p w14:paraId="752BA796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bicykle – nemotorové vozidlá pohybujúce sa pomocou ľudskej sily šliapaním do pedálov, ktoré sú ovládané cyklistom pomocou riadidiel tak, že sedí na sedadle bicykla a drží sa riadidiel, pričom pri jazde má cyklista nohy na pedáloch,</w:t>
            </w:r>
          </w:p>
          <w:p w14:paraId="26C92F10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bicykle s pomocným motorčekom – bicykle, pričom na pohon okrem ľudskej sily slúži aj pomocný motorček,</w:t>
            </w:r>
          </w:p>
          <w:p w14:paraId="0F1F3F2C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kolobežky – nemotorové vozidlá pohybujúce sa pomocou ľudskej sily nožným odrážaním, ktoré sú ovládané </w:t>
            </w:r>
            <w:proofErr w:type="spellStart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kolobežkárom</w:t>
            </w:r>
            <w:proofErr w:type="spellEnd"/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 xml:space="preserve"> pomocou riadidiel tak, že sedí na sedadle kolobežky alebo stojí a drží sa riadidiel,</w:t>
            </w:r>
          </w:p>
          <w:p w14:paraId="3CC743F7" w14:textId="77777777" w:rsidR="00856D01" w:rsidRPr="009B0208" w:rsidRDefault="00856D01" w:rsidP="00856D01">
            <w:pPr>
              <w:pStyle w:val="Default"/>
              <w:widowControl w:val="0"/>
              <w:numPr>
                <w:ilvl w:val="0"/>
                <w:numId w:val="5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</w:pPr>
            <w:r w:rsidRPr="009B0208">
              <w:rPr>
                <w:rFonts w:asciiTheme="minorHAnsi" w:hAnsiTheme="minorHAnsi" w:cstheme="minorHAnsi"/>
                <w:color w:val="auto"/>
                <w:sz w:val="19"/>
                <w:szCs w:val="19"/>
                <w:lang w:val="sk-SK"/>
              </w:rPr>
              <w:t>kolobežky s pomocným motorčekom – kolobežky, pričom na pohon okrem ľudskej sily slúži aj pomocný motorček,</w:t>
            </w:r>
          </w:p>
        </w:tc>
      </w:tr>
    </w:tbl>
    <w:p w14:paraId="347FDC25" w14:textId="77777777" w:rsidR="00856D01" w:rsidRPr="009B0208" w:rsidRDefault="00856D01" w:rsidP="00856D01">
      <w:pPr>
        <w:rPr>
          <w:rFonts w:asciiTheme="minorHAnsi" w:hAnsiTheme="minorHAnsi" w:cstheme="minorHAnsi"/>
          <w:b/>
          <w:sz w:val="24"/>
        </w:rPr>
      </w:pPr>
      <w:bookmarkStart w:id="0" w:name="_GoBack"/>
      <w:bookmarkEnd w:id="0"/>
    </w:p>
    <w:sectPr w:rsidR="00856D01" w:rsidRPr="009B0208" w:rsidSect="00114544">
      <w:headerReference w:type="first" r:id="rId12"/>
      <w:pgSz w:w="16838" w:h="11906" w:orient="landscape"/>
      <w:pgMar w:top="1418" w:right="1417" w:bottom="127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9FF5E" w14:textId="77777777" w:rsidR="005421F9" w:rsidRDefault="005421F9" w:rsidP="007900C1">
      <w:r>
        <w:separator/>
      </w:r>
    </w:p>
  </w:endnote>
  <w:endnote w:type="continuationSeparator" w:id="0">
    <w:p w14:paraId="6A0EB40C" w14:textId="77777777" w:rsidR="005421F9" w:rsidRDefault="005421F9" w:rsidP="007900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9436F" w14:textId="77777777" w:rsidR="00A76425" w:rsidRDefault="00A76425" w:rsidP="00437D96">
    <w:pPr>
      <w:pStyle w:val="Pta"/>
      <w:jc w:val="right"/>
    </w:pPr>
    <w:r w:rsidRPr="00627EA3">
      <w:rPr>
        <w:noProof/>
        <w:lang w:eastAsia="sk-SK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4E7EC71F" wp14:editId="70A9D9C2">
              <wp:simplePos x="0" y="0"/>
              <wp:positionH relativeFrom="column">
                <wp:posOffset>-5036</wp:posOffset>
              </wp:positionH>
              <wp:positionV relativeFrom="paragraph">
                <wp:posOffset>120339</wp:posOffset>
              </wp:positionV>
              <wp:extent cx="9112103" cy="41423"/>
              <wp:effectExtent l="57150" t="38100" r="51435" b="92075"/>
              <wp:wrapNone/>
              <wp:docPr id="11" name="Rovná spojnica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9112103" cy="41423"/>
                      </a:xfrm>
                      <a:prstGeom prst="line">
                        <a:avLst/>
                      </a:prstGeom>
                      <a:ln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979921A" id="Rovná spojnica 11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9.5pt" to="717.1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" strokecolor="#8496b0 [1951]" strokeweight="1.5pt">
              <v:stroke joinstyle="miter"/>
            </v:line>
          </w:pict>
        </mc:Fallback>
      </mc:AlternateContent>
    </w:r>
    <w:r>
      <w:t xml:space="preserve"> </w:t>
    </w:r>
  </w:p>
  <w:p w14:paraId="0A7CD710" w14:textId="51D902DD" w:rsidR="00A76425" w:rsidRDefault="00A76425" w:rsidP="00437D96">
    <w:pPr>
      <w:pStyle w:val="Pta"/>
      <w:jc w:val="right"/>
    </w:pPr>
    <w:r>
      <w:t xml:space="preserve">Strana </w:t>
    </w:r>
    <w:sdt>
      <w:sdtPr>
        <w:id w:val="-2010898634"/>
        <w:docPartObj>
          <w:docPartGallery w:val="Page Numbers (Bottom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B763F">
          <w:rPr>
            <w:noProof/>
          </w:rPr>
          <w:t>18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D99CE" w14:textId="77777777" w:rsidR="005421F9" w:rsidRDefault="005421F9" w:rsidP="007900C1">
      <w:r>
        <w:separator/>
      </w:r>
    </w:p>
  </w:footnote>
  <w:footnote w:type="continuationSeparator" w:id="0">
    <w:p w14:paraId="0E02900A" w14:textId="77777777" w:rsidR="005421F9" w:rsidRDefault="005421F9" w:rsidP="007900C1">
      <w:r>
        <w:continuationSeparator/>
      </w:r>
    </w:p>
  </w:footnote>
  <w:footnote w:id="1">
    <w:p w14:paraId="4B06EEC8" w14:textId="77777777" w:rsidR="00A76425" w:rsidRDefault="00A76425" w:rsidP="007A1D28">
      <w:pPr>
        <w:pStyle w:val="Textpoznmkypodiarou"/>
        <w:ind w:left="170" w:hanging="170"/>
        <w:jc w:val="both"/>
        <w:rPr>
          <w:rStyle w:val="Odkaznapoznmkupodiarou"/>
          <w:rFonts w:ascii="Arial Narrow" w:hAnsi="Arial Narrow"/>
          <w:szCs w:val="18"/>
        </w:rPr>
      </w:pPr>
      <w:r>
        <w:rPr>
          <w:rStyle w:val="Odkaznapoznmkupodiarou"/>
          <w:rFonts w:ascii="Arial Narrow" w:hAnsi="Arial Narrow"/>
          <w:szCs w:val="18"/>
        </w:rPr>
        <w:footnoteRef/>
      </w:r>
      <w:r>
        <w:rPr>
          <w:rStyle w:val="Odkaznapoznmkupodiarou"/>
          <w:rFonts w:ascii="Arial Narrow" w:hAnsi="Arial Narrow"/>
          <w:szCs w:val="18"/>
        </w:rPr>
        <w:t xml:space="preserve"> </w:t>
      </w:r>
      <w:r>
        <w:rPr>
          <w:rFonts w:ascii="Arial Narrow" w:hAnsi="Arial Narrow"/>
          <w:szCs w:val="18"/>
          <w:vertAlign w:val="subscript"/>
        </w:rPr>
        <w:tab/>
      </w:r>
      <w:r>
        <w:rPr>
          <w:rStyle w:val="Zvraznenie"/>
          <w:rFonts w:ascii="Arial Narrow" w:hAnsi="Arial Narrow"/>
          <w:bCs/>
          <w:szCs w:val="18"/>
          <w:shd w:val="clear" w:color="auto" w:fill="FFFFFF"/>
        </w:rPr>
        <w:t>Zákon</w:t>
      </w:r>
      <w:r>
        <w:rPr>
          <w:rStyle w:val="apple-converted-space"/>
          <w:rFonts w:ascii="Arial Narrow" w:hAnsi="Arial Narrow"/>
          <w:i/>
          <w:szCs w:val="18"/>
          <w:shd w:val="clear" w:color="auto" w:fill="FFFFFF"/>
        </w:rPr>
        <w:t> </w:t>
      </w:r>
      <w:r>
        <w:rPr>
          <w:rFonts w:ascii="Arial Narrow" w:hAnsi="Arial Narrow"/>
          <w:szCs w:val="18"/>
          <w:shd w:val="clear" w:color="auto" w:fill="FFFFFF"/>
        </w:rPr>
        <w:t>č. 222/2004 Z. z. o dani z pridanej hodnoty v znení neskorších predpisov.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B8EC0B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0288" behindDoc="1" locked="0" layoutInCell="1" allowOverlap="1" wp14:anchorId="49A0EDA4" wp14:editId="3DC97F13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4" name="Obrázok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59264" behindDoc="1" locked="0" layoutInCell="1" allowOverlap="1" wp14:anchorId="761CD537" wp14:editId="4B2C8C9A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7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2336" behindDoc="1" locked="0" layoutInCell="1" allowOverlap="1" wp14:anchorId="071ABFE6" wp14:editId="284086C4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5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F446546" w14:textId="77777777" w:rsidR="00A76425" w:rsidRDefault="00A76425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B4760A" w14:textId="77777777" w:rsidR="00A76425" w:rsidRDefault="00A76425" w:rsidP="00437D96">
    <w:pPr>
      <w:pStyle w:val="Hlavika"/>
      <w:rPr>
        <w:rFonts w:ascii="Arial Narrow" w:hAnsi="Arial Narrow"/>
        <w:sz w:val="20"/>
      </w:rPr>
    </w:pP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5408" behindDoc="1" locked="0" layoutInCell="1" allowOverlap="1" wp14:anchorId="3F13DE17" wp14:editId="783BE082">
          <wp:simplePos x="0" y="0"/>
          <wp:positionH relativeFrom="column">
            <wp:posOffset>2043430</wp:posOffset>
          </wp:positionH>
          <wp:positionV relativeFrom="paragraph">
            <wp:posOffset>-516255</wp:posOffset>
          </wp:positionV>
          <wp:extent cx="1314450" cy="1276350"/>
          <wp:effectExtent l="19050" t="0" r="0" b="0"/>
          <wp:wrapNone/>
          <wp:docPr id="8" name="Obrázok 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1" descr="http://www.opotravinach.sk/app/webroot/files/talk_files/MP_web%20mal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14450" cy="1276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3360" behindDoc="1" locked="0" layoutInCell="1" allowOverlap="1" wp14:anchorId="2C20D85C" wp14:editId="03190217">
          <wp:simplePos x="0" y="0"/>
          <wp:positionH relativeFrom="column">
            <wp:posOffset>370205</wp:posOffset>
          </wp:positionH>
          <wp:positionV relativeFrom="paragraph">
            <wp:posOffset>-92075</wp:posOffset>
          </wp:positionV>
          <wp:extent cx="561975" cy="471170"/>
          <wp:effectExtent l="19050" t="0" r="9525" b="0"/>
          <wp:wrapTight wrapText="bothSides">
            <wp:wrapPolygon edited="0">
              <wp:start x="2197" y="0"/>
              <wp:lineTo x="3661" y="13973"/>
              <wp:lineTo x="-732" y="13973"/>
              <wp:lineTo x="-732" y="19213"/>
              <wp:lineTo x="5125" y="20960"/>
              <wp:lineTo x="16841" y="20960"/>
              <wp:lineTo x="21966" y="19213"/>
              <wp:lineTo x="21966" y="13973"/>
              <wp:lineTo x="18305" y="13973"/>
              <wp:lineTo x="20502" y="9606"/>
              <wp:lineTo x="19769" y="0"/>
              <wp:lineTo x="2197" y="0"/>
            </wp:wrapPolygon>
          </wp:wrapTight>
          <wp:docPr id="1" name="Obrázok 1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Arial Narrow" w:hAnsi="Arial Narrow"/>
        <w:sz w:val="20"/>
      </w:rPr>
      <w:tab/>
    </w:r>
    <w:r>
      <w:rPr>
        <w:rFonts w:ascii="Arial Narrow" w:hAnsi="Arial Narrow"/>
        <w:sz w:val="20"/>
      </w:rPr>
      <w:tab/>
    </w:r>
    <w:r w:rsidRPr="004C2F1F">
      <w:rPr>
        <w:rFonts w:ascii="Arial Narrow" w:hAnsi="Arial Narrow"/>
        <w:noProof/>
        <w:sz w:val="20"/>
        <w:lang w:eastAsia="sk-SK"/>
      </w:rPr>
      <w:drawing>
        <wp:anchor distT="0" distB="0" distL="114300" distR="114300" simplePos="0" relativeHeight="251667456" behindDoc="1" locked="0" layoutInCell="1" allowOverlap="1" wp14:anchorId="7171D676" wp14:editId="373D7038">
          <wp:simplePos x="0" y="0"/>
          <wp:positionH relativeFrom="column">
            <wp:posOffset>3996055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0" name="Obrázok 2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C21391F" w14:textId="77777777" w:rsidR="00A76425" w:rsidRPr="00687FF8" w:rsidRDefault="00A76425" w:rsidP="00437D96">
    <w:pPr>
      <w:pStyle w:val="Hlavik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318979" w14:textId="77777777" w:rsidR="00A76425" w:rsidRPr="001B5DCB" w:rsidRDefault="00A76425" w:rsidP="00437D96">
    <w:pPr>
      <w:pStyle w:val="Hlavika"/>
      <w:tabs>
        <w:tab w:val="right" w:pos="14004"/>
      </w:tabs>
    </w:pPr>
    <w:r w:rsidRPr="001B5DCB">
      <w:t>Špecifikácia oprávnených aktivít a oprávnených výdavkov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6C99A" w14:textId="77777777" w:rsidR="00A76425" w:rsidRPr="001B5DCB" w:rsidRDefault="00A76425" w:rsidP="00437D96">
    <w:pPr>
      <w:pStyle w:val="Hlavika"/>
      <w:tabs>
        <w:tab w:val="right" w:pos="14004"/>
      </w:tabs>
    </w:pPr>
    <w:r w:rsidRPr="001B5DCB">
      <w:t>Špecifikácia oprávnených aktivít a oprávnených výdavkov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D04D7"/>
    <w:multiLevelType w:val="hybridMultilevel"/>
    <w:tmpl w:val="AA7025D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D35CE1"/>
    <w:multiLevelType w:val="hybridMultilevel"/>
    <w:tmpl w:val="EDBE3E6E"/>
    <w:lvl w:ilvl="0" w:tplc="041B0005">
      <w:start w:val="1"/>
      <w:numFmt w:val="bullet"/>
      <w:lvlText w:val=""/>
      <w:lvlJc w:val="left"/>
      <w:pPr>
        <w:ind w:left="462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182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1902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622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342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062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4782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502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222" w:hanging="360"/>
      </w:pPr>
      <w:rPr>
        <w:rFonts w:ascii="Wingdings" w:hAnsi="Wingdings" w:hint="default"/>
      </w:rPr>
    </w:lvl>
  </w:abstractNum>
  <w:abstractNum w:abstractNumId="2" w15:restartNumberingAfterBreak="0">
    <w:nsid w:val="1C00522C"/>
    <w:multiLevelType w:val="hybridMultilevel"/>
    <w:tmpl w:val="F528908C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B1A3C02"/>
    <w:multiLevelType w:val="hybridMultilevel"/>
    <w:tmpl w:val="152C90FE"/>
    <w:lvl w:ilvl="0" w:tplc="CDBEAC6C">
      <w:numFmt w:val="bullet"/>
      <w:lvlText w:val="•"/>
      <w:lvlJc w:val="left"/>
      <w:pPr>
        <w:ind w:left="578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36FD426E"/>
    <w:multiLevelType w:val="hybridMultilevel"/>
    <w:tmpl w:val="954AE136"/>
    <w:lvl w:ilvl="0" w:tplc="D2EA1540">
      <w:start w:val="20"/>
      <w:numFmt w:val="bullet"/>
      <w:lvlText w:val="-"/>
      <w:lvlJc w:val="left"/>
      <w:pPr>
        <w:ind w:left="720" w:hanging="360"/>
      </w:pPr>
      <w:rPr>
        <w:rFonts w:ascii="Calibri" w:eastAsia="Times New Roman" w:hAnsi="Calibri" w:cstheme="minorHAns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4B64CA"/>
    <w:multiLevelType w:val="hybridMultilevel"/>
    <w:tmpl w:val="C6C275E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13754F"/>
    <w:multiLevelType w:val="hybridMultilevel"/>
    <w:tmpl w:val="3DB6E6C4"/>
    <w:lvl w:ilvl="0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5DA2B37"/>
    <w:multiLevelType w:val="hybridMultilevel"/>
    <w:tmpl w:val="CE5E8FFA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144DC42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294880"/>
    <w:multiLevelType w:val="hybridMultilevel"/>
    <w:tmpl w:val="17EE5060"/>
    <w:lvl w:ilvl="0" w:tplc="02CA6F5C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5"/>
  </w:num>
  <w:num w:numId="5">
    <w:abstractNumId w:val="7"/>
  </w:num>
  <w:num w:numId="6">
    <w:abstractNumId w:val="8"/>
  </w:num>
  <w:num w:numId="7">
    <w:abstractNumId w:val="6"/>
  </w:num>
  <w:num w:numId="8">
    <w:abstractNumId w:val="2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996"/>
    <w:rsid w:val="000309C2"/>
    <w:rsid w:val="00041EA6"/>
    <w:rsid w:val="00045BF4"/>
    <w:rsid w:val="00050852"/>
    <w:rsid w:val="00051444"/>
    <w:rsid w:val="00052740"/>
    <w:rsid w:val="00065996"/>
    <w:rsid w:val="000867AB"/>
    <w:rsid w:val="0009378B"/>
    <w:rsid w:val="000950EA"/>
    <w:rsid w:val="000A5B92"/>
    <w:rsid w:val="000B25BD"/>
    <w:rsid w:val="000E52FF"/>
    <w:rsid w:val="00106314"/>
    <w:rsid w:val="00113C2C"/>
    <w:rsid w:val="00114544"/>
    <w:rsid w:val="001334FC"/>
    <w:rsid w:val="001663AC"/>
    <w:rsid w:val="001770B0"/>
    <w:rsid w:val="001A66A4"/>
    <w:rsid w:val="001B4D56"/>
    <w:rsid w:val="001F08C9"/>
    <w:rsid w:val="00222486"/>
    <w:rsid w:val="00224D63"/>
    <w:rsid w:val="00286B67"/>
    <w:rsid w:val="00290A29"/>
    <w:rsid w:val="002A4B1F"/>
    <w:rsid w:val="002B76C5"/>
    <w:rsid w:val="002D45AB"/>
    <w:rsid w:val="002F25E6"/>
    <w:rsid w:val="00301387"/>
    <w:rsid w:val="00301FE1"/>
    <w:rsid w:val="00350521"/>
    <w:rsid w:val="00355300"/>
    <w:rsid w:val="003A78DE"/>
    <w:rsid w:val="003D61B8"/>
    <w:rsid w:val="003D72A4"/>
    <w:rsid w:val="003E0C5A"/>
    <w:rsid w:val="003F6B8D"/>
    <w:rsid w:val="00420279"/>
    <w:rsid w:val="004234C1"/>
    <w:rsid w:val="00437D96"/>
    <w:rsid w:val="00450EE2"/>
    <w:rsid w:val="00455F27"/>
    <w:rsid w:val="004A07A8"/>
    <w:rsid w:val="004A17A5"/>
    <w:rsid w:val="004A704B"/>
    <w:rsid w:val="004B5802"/>
    <w:rsid w:val="004B763F"/>
    <w:rsid w:val="004C49AD"/>
    <w:rsid w:val="00507295"/>
    <w:rsid w:val="005265E1"/>
    <w:rsid w:val="005421F9"/>
    <w:rsid w:val="00545CDC"/>
    <w:rsid w:val="005A67D1"/>
    <w:rsid w:val="005E412A"/>
    <w:rsid w:val="005E4C9E"/>
    <w:rsid w:val="006C0D2C"/>
    <w:rsid w:val="006E0BA1"/>
    <w:rsid w:val="00707EA7"/>
    <w:rsid w:val="007178B7"/>
    <w:rsid w:val="00722D6C"/>
    <w:rsid w:val="00732593"/>
    <w:rsid w:val="007723AE"/>
    <w:rsid w:val="00773273"/>
    <w:rsid w:val="007900C1"/>
    <w:rsid w:val="00791038"/>
    <w:rsid w:val="00796060"/>
    <w:rsid w:val="007A1D28"/>
    <w:rsid w:val="007C283F"/>
    <w:rsid w:val="008563D7"/>
    <w:rsid w:val="00856D01"/>
    <w:rsid w:val="008756EC"/>
    <w:rsid w:val="00880DAE"/>
    <w:rsid w:val="00884FC7"/>
    <w:rsid w:val="00895F57"/>
    <w:rsid w:val="008C6EC0"/>
    <w:rsid w:val="00910377"/>
    <w:rsid w:val="00924CB1"/>
    <w:rsid w:val="00937035"/>
    <w:rsid w:val="009662B4"/>
    <w:rsid w:val="009670EF"/>
    <w:rsid w:val="00985014"/>
    <w:rsid w:val="00991D6C"/>
    <w:rsid w:val="009A1FA7"/>
    <w:rsid w:val="009A5787"/>
    <w:rsid w:val="009B0208"/>
    <w:rsid w:val="009D7016"/>
    <w:rsid w:val="009D7623"/>
    <w:rsid w:val="00A0441A"/>
    <w:rsid w:val="00A76425"/>
    <w:rsid w:val="00AD3328"/>
    <w:rsid w:val="00B0092A"/>
    <w:rsid w:val="00B24ED0"/>
    <w:rsid w:val="00B46148"/>
    <w:rsid w:val="00B505EC"/>
    <w:rsid w:val="00B73919"/>
    <w:rsid w:val="00B7415C"/>
    <w:rsid w:val="00B97C29"/>
    <w:rsid w:val="00BA25DC"/>
    <w:rsid w:val="00CC5DB8"/>
    <w:rsid w:val="00CD4576"/>
    <w:rsid w:val="00D27547"/>
    <w:rsid w:val="00D30727"/>
    <w:rsid w:val="00D4450F"/>
    <w:rsid w:val="00D76D93"/>
    <w:rsid w:val="00D80A8E"/>
    <w:rsid w:val="00DA2EC4"/>
    <w:rsid w:val="00DD6BA2"/>
    <w:rsid w:val="00E10467"/>
    <w:rsid w:val="00E20668"/>
    <w:rsid w:val="00E2377E"/>
    <w:rsid w:val="00E25773"/>
    <w:rsid w:val="00E64C0E"/>
    <w:rsid w:val="00ED21AB"/>
    <w:rsid w:val="00F050EA"/>
    <w:rsid w:val="00F246B5"/>
    <w:rsid w:val="00F64E2F"/>
    <w:rsid w:val="00FA1257"/>
    <w:rsid w:val="00FC4269"/>
    <w:rsid w:val="00FD5564"/>
    <w:rsid w:val="00FF5E6E"/>
    <w:rsid w:val="00FF6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D511C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7900C1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rsid w:val="007900C1"/>
    <w:pPr>
      <w:tabs>
        <w:tab w:val="right" w:pos="8222"/>
      </w:tabs>
    </w:pPr>
    <w:rPr>
      <w:sz w:val="18"/>
    </w:rPr>
  </w:style>
  <w:style w:type="character" w:customStyle="1" w:styleId="PtaChar">
    <w:name w:val="Päta Char"/>
    <w:basedOn w:val="Predvolenpsmoodseku"/>
    <w:link w:val="Pta"/>
    <w:uiPriority w:val="99"/>
    <w:rsid w:val="007900C1"/>
    <w:rPr>
      <w:rFonts w:ascii="Times New Roman" w:eastAsia="Times New Roman" w:hAnsi="Times New Roman" w:cs="Times New Roman"/>
      <w:sz w:val="18"/>
      <w:szCs w:val="20"/>
    </w:rPr>
  </w:style>
  <w:style w:type="paragraph" w:styleId="Hlavika">
    <w:name w:val="header"/>
    <w:basedOn w:val="Normlny"/>
    <w:link w:val="HlavikaChar"/>
    <w:uiPriority w:val="99"/>
    <w:rsid w:val="007900C1"/>
    <w:pPr>
      <w:spacing w:line="220" w:lineRule="atLeast"/>
      <w:jc w:val="right"/>
    </w:pPr>
    <w:rPr>
      <w:i/>
      <w:sz w:val="18"/>
    </w:rPr>
  </w:style>
  <w:style w:type="character" w:customStyle="1" w:styleId="HlavikaChar">
    <w:name w:val="Hlavička Char"/>
    <w:basedOn w:val="Predvolenpsmoodseku"/>
    <w:link w:val="Hlavika"/>
    <w:uiPriority w:val="99"/>
    <w:rsid w:val="007900C1"/>
    <w:rPr>
      <w:rFonts w:ascii="Times New Roman" w:eastAsia="Times New Roman" w:hAnsi="Times New Roman" w:cs="Times New Roman"/>
      <w:i/>
      <w:sz w:val="18"/>
      <w:szCs w:val="20"/>
    </w:rPr>
  </w:style>
  <w:style w:type="paragraph" w:styleId="Textpoznmkypodiarou">
    <w:name w:val="footnote text"/>
    <w:aliases w:val="Text poznámky pod čiarou 007,Text poznámky pod eiarou 007,_Poznámka pod čiarou,Text poznámky pod èiarou 007,Stinking Styles2,Tekst przypisu- dokt,Char Char Char Char Char Char Char Char Char Char Char,Char Char Ch,o,Car,Char4"/>
    <w:basedOn w:val="Normlny"/>
    <w:link w:val="TextpoznmkypodiarouChar"/>
    <w:uiPriority w:val="99"/>
    <w:semiHidden/>
    <w:rsid w:val="007900C1"/>
    <w:rPr>
      <w:sz w:val="18"/>
    </w:rPr>
  </w:style>
  <w:style w:type="character" w:customStyle="1" w:styleId="TextpoznmkypodiarouChar">
    <w:name w:val="Text poznámky pod čiarou Char"/>
    <w:aliases w:val="Text poznámky pod čiarou 007 Char,Text poznámky pod eiarou 007 Char,_Poznámka pod čiarou Char,Text poznámky pod èiarou 007 Char,Stinking Styles2 Char,Tekst przypisu- dokt Char,Char Char Ch Char,o Char,Car Char,Char4 Char"/>
    <w:basedOn w:val="Predvolenpsmoodseku"/>
    <w:link w:val="Textpoznmkypodiarou"/>
    <w:uiPriority w:val="99"/>
    <w:semiHidden/>
    <w:rsid w:val="007900C1"/>
    <w:rPr>
      <w:rFonts w:ascii="Times New Roman" w:eastAsia="Times New Roman" w:hAnsi="Times New Roman" w:cs="Times New Roman"/>
      <w:sz w:val="18"/>
      <w:szCs w:val="20"/>
    </w:rPr>
  </w:style>
  <w:style w:type="character" w:styleId="slostrany">
    <w:name w:val="page number"/>
    <w:basedOn w:val="Predvolenpsmoodseku"/>
    <w:semiHidden/>
    <w:rsid w:val="007900C1"/>
    <w:rPr>
      <w:sz w:val="22"/>
    </w:rPr>
  </w:style>
  <w:style w:type="paragraph" w:styleId="Odsekzoznamu">
    <w:name w:val="List Paragraph"/>
    <w:aliases w:val="body,Odsek zoznamu2,List Paragraph,Listenabsatz"/>
    <w:basedOn w:val="Normlny"/>
    <w:link w:val="OdsekzoznamuChar"/>
    <w:uiPriority w:val="34"/>
    <w:qFormat/>
    <w:rsid w:val="007900C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7900C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7900C1"/>
    <w:rPr>
      <w:sz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7900C1"/>
    <w:rPr>
      <w:rFonts w:ascii="Times New Roman" w:eastAsia="Times New Roman" w:hAnsi="Times New Roman" w:cs="Times New Roman"/>
      <w:sz w:val="20"/>
      <w:szCs w:val="20"/>
    </w:rPr>
  </w:style>
  <w:style w:type="table" w:styleId="Mriekatabuky">
    <w:name w:val="Table Grid"/>
    <w:basedOn w:val="Normlnatabuka"/>
    <w:uiPriority w:val="59"/>
    <w:rsid w:val="007900C1"/>
    <w:pPr>
      <w:spacing w:after="0" w:line="240" w:lineRule="auto"/>
    </w:pPr>
    <w:rPr>
      <w:rFonts w:ascii="Tms Rmn" w:eastAsia="Times New Roman" w:hAnsi="Tms Rm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poznmkupodiarou">
    <w:name w:val="footnote reference"/>
    <w:aliases w:val="Footnote symbol,Footnote,Stinking Styles1,Footnote reference number,Times 10 Point,Exposant 3 Point,Ref,de nota al pie,note TESI,SUPERS,EN Footnote text,EN Footnote Refe,FRef ISO,PGI Fußnote Ziffer,Footnotes refss,ftref"/>
    <w:uiPriority w:val="99"/>
    <w:semiHidden/>
    <w:rsid w:val="007900C1"/>
    <w:rPr>
      <w:rFonts w:cs="Times New Roman"/>
      <w:vertAlign w:val="superscript"/>
    </w:rPr>
  </w:style>
  <w:style w:type="character" w:customStyle="1" w:styleId="OdsekzoznamuChar">
    <w:name w:val="Odsek zoznamu Char"/>
    <w:aliases w:val="body Char,Odsek zoznamu2 Char,List Paragraph Char,Listenabsatz Char"/>
    <w:link w:val="Odsekzoznamu"/>
    <w:uiPriority w:val="34"/>
    <w:locked/>
    <w:rsid w:val="007900C1"/>
    <w:rPr>
      <w:rFonts w:ascii="Times New Roman" w:eastAsia="Times New Roman" w:hAnsi="Times New Roman" w:cs="Times New Roman"/>
      <w:szCs w:val="20"/>
    </w:rPr>
  </w:style>
  <w:style w:type="character" w:styleId="Zstupntext">
    <w:name w:val="Placeholder Text"/>
    <w:basedOn w:val="Predvolenpsmoodseku"/>
    <w:uiPriority w:val="99"/>
    <w:semiHidden/>
    <w:rsid w:val="007900C1"/>
    <w:rPr>
      <w:color w:val="80808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91D6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91D6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zia">
    <w:name w:val="Revision"/>
    <w:hidden/>
    <w:uiPriority w:val="99"/>
    <w:semiHidden/>
    <w:rsid w:val="00991D6C"/>
    <w:pPr>
      <w:spacing w:after="0" w:line="240" w:lineRule="auto"/>
    </w:pPr>
    <w:rPr>
      <w:rFonts w:ascii="Times New Roman" w:eastAsia="Times New Roman" w:hAnsi="Times New Roman" w:cs="Times New Roman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91D6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91D6C"/>
    <w:rPr>
      <w:rFonts w:ascii="Segoe UI" w:eastAsia="Times New Roman" w:hAnsi="Segoe UI" w:cs="Segoe U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9D7016"/>
    <w:rPr>
      <w:rFonts w:ascii="Calibri" w:eastAsia="Times New Roman" w:hAnsi="Calibri"/>
      <w:sz w:val="20"/>
      <w:szCs w:val="20"/>
      <w:lang w:eastAsia="sk-SK"/>
    </w:rPr>
  </w:style>
  <w:style w:type="paragraph" w:styleId="Bezriadkovania">
    <w:name w:val="No Spacing"/>
    <w:link w:val="BezriadkovaniaChar"/>
    <w:uiPriority w:val="1"/>
    <w:qFormat/>
    <w:rsid w:val="009D7016"/>
    <w:pPr>
      <w:spacing w:after="0" w:line="240" w:lineRule="auto"/>
    </w:pPr>
    <w:rPr>
      <w:rFonts w:ascii="Calibri" w:eastAsia="Times New Roman" w:hAnsi="Calibri"/>
      <w:sz w:val="20"/>
      <w:szCs w:val="20"/>
      <w:lang w:eastAsia="sk-SK"/>
    </w:rPr>
  </w:style>
  <w:style w:type="character" w:customStyle="1" w:styleId="apple-converted-space">
    <w:name w:val="apple-converted-space"/>
    <w:basedOn w:val="Predvolenpsmoodseku"/>
    <w:rsid w:val="009D7016"/>
  </w:style>
  <w:style w:type="character" w:styleId="Zvraznenie">
    <w:name w:val="Emphasis"/>
    <w:basedOn w:val="Predvolenpsmoodseku"/>
    <w:uiPriority w:val="20"/>
    <w:qFormat/>
    <w:rsid w:val="009D7016"/>
    <w:rPr>
      <w:i/>
      <w:iCs/>
    </w:rPr>
  </w:style>
  <w:style w:type="paragraph" w:customStyle="1" w:styleId="Default">
    <w:name w:val="Default"/>
    <w:rsid w:val="00D80A8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Deloittetable21">
    <w:name w:val="Deloitte table 21"/>
    <w:basedOn w:val="Normlnatabuka"/>
    <w:rsid w:val="00D80A8E"/>
    <w:pPr>
      <w:spacing w:after="0" w:line="240" w:lineRule="auto"/>
    </w:pPr>
    <w:rPr>
      <w:rFonts w:ascii="Arial" w:eastAsia="Times New Roman" w:hAnsi="Arial" w:cs="Times New Roman"/>
      <w:sz w:val="19"/>
      <w:szCs w:val="20"/>
      <w:lang w:val="en-US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 w:cs="Arial" w:hint="default"/>
        <w:b/>
        <w:color w:val="FFFFFF"/>
        <w:sz w:val="19"/>
        <w:szCs w:val="19"/>
      </w:rPr>
      <w:tblPr/>
      <w:tcPr>
        <w:shd w:val="clear" w:color="auto" w:fill="00A1DE"/>
      </w:tcPr>
    </w:tblStylePr>
    <w:tblStylePr w:type="firstCol">
      <w:rPr>
        <w:rFonts w:ascii="Arial" w:hAnsi="Arial" w:cs="Arial" w:hint="default"/>
        <w:sz w:val="19"/>
        <w:szCs w:val="19"/>
      </w:rPr>
    </w:tblStylePr>
  </w:style>
  <w:style w:type="paragraph" w:styleId="Normlnywebov">
    <w:name w:val="Normal (Web)"/>
    <w:basedOn w:val="Normlny"/>
    <w:uiPriority w:val="99"/>
    <w:semiHidden/>
    <w:unhideWhenUsed/>
    <w:rsid w:val="00F64E2F"/>
    <w:pPr>
      <w:spacing w:before="100" w:beforeAutospacing="1" w:after="100" w:afterAutospacing="1"/>
    </w:pPr>
    <w:rPr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1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93C75E-87DB-41EA-8CA7-97E32B578E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837</Words>
  <Characters>4774</Characters>
  <Application>Microsoft Office Word</Application>
  <DocSecurity>0</DocSecurity>
  <Lines>39</Lines>
  <Paragraphs>11</Paragraphs>
  <ScaleCrop>false</ScaleCrop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2019-09-23T09:29:00Z</dcterms:created>
  <dcterms:modified xsi:type="dcterms:W3CDTF">2019-09-26T09:24:00Z</dcterms:modified>
</cp:coreProperties>
</file>